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564D4" w14:textId="77777777" w:rsidR="00CD6331" w:rsidRPr="00CD6331" w:rsidRDefault="00CD6331" w:rsidP="00CD6331">
      <w:pPr>
        <w:widowControl/>
        <w:shd w:val="clear" w:color="auto" w:fill="FFFFFF"/>
        <w:spacing w:after="210"/>
        <w:ind w:firstLineChars="100" w:firstLine="346"/>
        <w:jc w:val="left"/>
        <w:outlineLvl w:val="0"/>
        <w:rPr>
          <w:rFonts w:ascii="Microsoft YaHei UI" w:eastAsia="Microsoft YaHei UI" w:hAnsi="Microsoft YaHei UI" w:cs="宋体"/>
          <w:spacing w:val="8"/>
          <w:kern w:val="36"/>
          <w:sz w:val="33"/>
          <w:szCs w:val="33"/>
        </w:rPr>
      </w:pPr>
      <w:r w:rsidRPr="00CD6331">
        <w:rPr>
          <w:rFonts w:ascii="Microsoft YaHei UI" w:eastAsia="Microsoft YaHei UI" w:hAnsi="Microsoft YaHei UI" w:cs="宋体" w:hint="eastAsia"/>
          <w:spacing w:val="8"/>
          <w:kern w:val="36"/>
          <w:sz w:val="33"/>
          <w:szCs w:val="33"/>
        </w:rPr>
        <w:t>中国工商业储能现状、成本、峰谷套利及运营机制</w:t>
      </w:r>
    </w:p>
    <w:p w14:paraId="6288E722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40B08E5" w14:textId="662CDF8C" w:rsidR="00CD6331" w:rsidRPr="00CD6331" w:rsidRDefault="00CD6331" w:rsidP="00DC7E13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kern w:val="0"/>
          <w:sz w:val="24"/>
          <w:szCs w:val="24"/>
        </w:rPr>
        <w:t>工商业储能是指写字楼、工厂等用电侧配备的储能设备，其主要实现的目标包括自发自用或者峰谷价差套利。国内各地主动拉大用电侧峰谷价差，拓宽工商业储能盈利空间，间接带动工商业储能发展。随着未来各地峰谷价差的进一步扩大，同时规模效应带来的储能系统初始投资额下行，工商业储能的经济性凸显。</w:t>
      </w:r>
    </w:p>
    <w:p w14:paraId="76611A4C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63ABF0A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6BF85A1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b/>
          <w:bCs/>
          <w:kern w:val="0"/>
          <w:sz w:val="24"/>
          <w:szCs w:val="24"/>
        </w:rPr>
        <w:t>什么是工商业储能？</w:t>
      </w:r>
    </w:p>
    <w:p w14:paraId="4C761E4C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kern w:val="0"/>
          <w:sz w:val="24"/>
          <w:szCs w:val="24"/>
        </w:rPr>
        <w:t>工商业储能是目前用户侧新型储能的重要应用场景。</w:t>
      </w:r>
    </w:p>
    <w:p w14:paraId="6A7514E9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kern w:val="0"/>
          <w:sz w:val="24"/>
          <w:szCs w:val="24"/>
        </w:rPr>
        <w:br/>
        <w:t>工商业储能是指写字楼、工厂等用电侧配备的储能设备，其主要实现的目标包括自发自用、作为备用电源，提升用户供电可靠性及用能质量；峰谷价差套利、参与电力市场等获取收益。</w:t>
      </w:r>
    </w:p>
    <w:p w14:paraId="28B01D8A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kern w:val="0"/>
          <w:sz w:val="24"/>
          <w:szCs w:val="24"/>
        </w:rPr>
        <w:br/>
        <w:t>工商业储能系统主要包括PACK电池、PCS（储能变流器）、BMS（电池管理系统）、EMS（能量管理系统）等。其大都一体化建设，多采取一体柜形式，工商业储能相较储能电站对系统控制水平要求较低，一些PCS同时具备BMS功能，EMS需设定系统充放电时间以达到能量管理目标。目前随着工厂用电量的增加，部分工商储的容量也能达到MW级别。</w:t>
      </w:r>
    </w:p>
    <w:p w14:paraId="076A0A62" w14:textId="054D79E0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BB6FCB1" wp14:editId="0403151C">
            <wp:extent cx="5274310" cy="2115820"/>
            <wp:effectExtent l="0" t="0" r="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CFD83" w14:textId="77777777" w:rsidR="00CD6331" w:rsidRPr="00CD6331" w:rsidRDefault="00CD6331" w:rsidP="00CD633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color w:val="075589"/>
          <w:kern w:val="0"/>
          <w:sz w:val="18"/>
          <w:szCs w:val="18"/>
        </w:rPr>
        <w:t>工商业储能系统构成</w:t>
      </w:r>
    </w:p>
    <w:p w14:paraId="15364F01" w14:textId="77777777" w:rsidR="00CD6331" w:rsidRPr="00CD6331" w:rsidRDefault="00CD6331" w:rsidP="00CD633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5F81869E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7165084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b/>
          <w:bCs/>
          <w:kern w:val="0"/>
          <w:sz w:val="24"/>
          <w:szCs w:val="24"/>
        </w:rPr>
        <w:t>峰谷价差拉大</w:t>
      </w:r>
    </w:p>
    <w:p w14:paraId="7E1B87C1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kern w:val="0"/>
          <w:sz w:val="24"/>
          <w:szCs w:val="24"/>
        </w:rPr>
        <w:t>近年来，国内各地主动拉大用电侧峰谷价差，拓宽工商业储能盈利空间，间接带动工商业储能发展。</w:t>
      </w:r>
      <w:proofErr w:type="gramStart"/>
      <w:r w:rsidRPr="00CD6331">
        <w:rPr>
          <w:rFonts w:ascii="宋体" w:eastAsia="宋体" w:hAnsi="宋体" w:cs="宋体"/>
          <w:kern w:val="0"/>
          <w:sz w:val="24"/>
          <w:szCs w:val="24"/>
        </w:rPr>
        <w:t>2021年发改委</w:t>
      </w:r>
      <w:proofErr w:type="gramEnd"/>
      <w:r w:rsidRPr="00CD6331">
        <w:rPr>
          <w:rFonts w:ascii="宋体" w:eastAsia="宋体" w:hAnsi="宋体" w:cs="宋体"/>
          <w:kern w:val="0"/>
          <w:sz w:val="24"/>
          <w:szCs w:val="24"/>
        </w:rPr>
        <w:t>推出的《关于进一步完善分时电价机制的通知》，在保持电价总水平稳定的基础上，更好引导</w:t>
      </w:r>
      <w:proofErr w:type="gramStart"/>
      <w:r w:rsidRPr="00CD6331">
        <w:rPr>
          <w:rFonts w:ascii="宋体" w:eastAsia="宋体" w:hAnsi="宋体" w:cs="宋体"/>
          <w:kern w:val="0"/>
          <w:sz w:val="24"/>
          <w:szCs w:val="24"/>
        </w:rPr>
        <w:t>用电侧削峰</w:t>
      </w:r>
      <w:proofErr w:type="gramEnd"/>
      <w:r w:rsidRPr="00CD6331">
        <w:rPr>
          <w:rFonts w:ascii="宋体" w:eastAsia="宋体" w:hAnsi="宋体" w:cs="宋体"/>
          <w:kern w:val="0"/>
          <w:sz w:val="24"/>
          <w:szCs w:val="24"/>
        </w:rPr>
        <w:t>填谷、改善电力供需状况、促进新能源消纳，并要求各地科学划分峰谷时段、合理确定峰谷电价价差。据CNESA数据，2023年6月全国共计19个省份的最大峰谷价差超过0.6元/kWh，其中广东省（珠三角五市）的峰谷价差最大，达到1.347元/kWh，超过第二名（海南省）约0.1元/kWh。</w:t>
      </w:r>
    </w:p>
    <w:p w14:paraId="0133F2F9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kern w:val="0"/>
          <w:sz w:val="24"/>
          <w:szCs w:val="24"/>
        </w:rPr>
        <w:lastRenderedPageBreak/>
        <w:br/>
        <w:t>2023上半年我国共有22个省份最大峰谷价差超过0.6元/KWh，大部分省份的峰谷价差相较于去年同期在持续拉大。最大峰谷价差位列前五的分别是广东省（珠三角五市）1.352元/KWh、海南省1.099元/KWh、湖北省0.985元/KWh、浙江省0.970元/KWh、吉林省0.961 元/KWh。</w:t>
      </w:r>
    </w:p>
    <w:p w14:paraId="40FCF7AC" w14:textId="51067AAB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608D9C8" wp14:editId="10DEDE65">
            <wp:extent cx="5274310" cy="3296285"/>
            <wp:effectExtent l="0" t="0" r="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66AAF" w14:textId="77777777" w:rsidR="00CD6331" w:rsidRPr="00CD6331" w:rsidRDefault="00CD6331" w:rsidP="00CD633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color w:val="075589"/>
          <w:kern w:val="0"/>
          <w:sz w:val="18"/>
          <w:szCs w:val="18"/>
        </w:rPr>
        <w:t>2023 上半年全国各地最大峰谷价差汇总（单位：元/KWh）</w:t>
      </w:r>
    </w:p>
    <w:p w14:paraId="4827A1C7" w14:textId="77777777" w:rsidR="00CD6331" w:rsidRPr="00CD6331" w:rsidRDefault="00CD6331" w:rsidP="00CD633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color w:val="075589"/>
          <w:kern w:val="0"/>
          <w:sz w:val="18"/>
          <w:szCs w:val="18"/>
        </w:rPr>
        <w:br/>
      </w:r>
    </w:p>
    <w:p w14:paraId="33761FD8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5B05F0F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b/>
          <w:bCs/>
          <w:kern w:val="0"/>
          <w:sz w:val="24"/>
          <w:szCs w:val="24"/>
        </w:rPr>
        <w:t>工商业储能成本优势提升</w:t>
      </w:r>
    </w:p>
    <w:p w14:paraId="6A3BA820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color w:val="8F0505"/>
          <w:kern w:val="0"/>
          <w:sz w:val="24"/>
          <w:szCs w:val="24"/>
          <w:u w:val="single"/>
        </w:rPr>
        <w:t>1、储能电</w:t>
      </w:r>
      <w:proofErr w:type="gramStart"/>
      <w:r w:rsidRPr="00CD6331">
        <w:rPr>
          <w:rFonts w:ascii="宋体" w:eastAsia="宋体" w:hAnsi="宋体" w:cs="宋体"/>
          <w:color w:val="8F0505"/>
          <w:kern w:val="0"/>
          <w:sz w:val="24"/>
          <w:szCs w:val="24"/>
          <w:u w:val="single"/>
        </w:rPr>
        <w:t>芯成本</w:t>
      </w:r>
      <w:proofErr w:type="gramEnd"/>
      <w:r w:rsidRPr="00CD6331">
        <w:rPr>
          <w:rFonts w:ascii="宋体" w:eastAsia="宋体" w:hAnsi="宋体" w:cs="宋体"/>
          <w:color w:val="8F0505"/>
          <w:kern w:val="0"/>
          <w:sz w:val="24"/>
          <w:szCs w:val="24"/>
          <w:u w:val="single"/>
        </w:rPr>
        <w:t>呈下降趋势</w:t>
      </w:r>
      <w:r w:rsidRPr="00CD6331">
        <w:rPr>
          <w:rFonts w:ascii="宋体" w:eastAsia="宋体" w:hAnsi="宋体" w:cs="宋体"/>
          <w:kern w:val="0"/>
          <w:sz w:val="24"/>
          <w:szCs w:val="24"/>
        </w:rPr>
        <w:br/>
        <w:t>2023年以来碳酸锂价格大幅下滑，带动电化学储能成本降低。基于当前国内储能用锂电池只能采取磷酸铁锂电池，我们对其进行成本测算，相关假设包括：正极材料、负极材料、隔膜、电解液、集流体、结构件及其他项目的单位价格，其中电池级碳酸锂2023年6月26日报价29.80万元/吨。</w:t>
      </w:r>
    </w:p>
    <w:p w14:paraId="0DADC020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DB03FB3" w14:textId="187F8616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C97B26F" wp14:editId="6284B779">
            <wp:extent cx="5274310" cy="3131820"/>
            <wp:effectExtent l="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89915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kern w:val="0"/>
          <w:sz w:val="24"/>
          <w:szCs w:val="24"/>
        </w:rPr>
        <w:t>2022.9-至今储能电芯(LFP)和电池级碳酸锂价格（万元/吨）</w:t>
      </w:r>
    </w:p>
    <w:p w14:paraId="0C65996B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0BB48BB" w14:textId="5C01B915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2A53200" wp14:editId="1AAC388A">
            <wp:extent cx="5274310" cy="2903855"/>
            <wp:effectExtent l="0" t="0" r="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203E1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kern w:val="0"/>
          <w:sz w:val="24"/>
          <w:szCs w:val="24"/>
        </w:rPr>
        <w:t>储能电芯（LFP）成本拆分</w:t>
      </w:r>
    </w:p>
    <w:p w14:paraId="48BB8F54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E765305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color w:val="8F0505"/>
          <w:kern w:val="0"/>
          <w:sz w:val="24"/>
          <w:szCs w:val="24"/>
          <w:u w:val="single"/>
        </w:rPr>
        <w:t>2、工商业储能系统成本组成</w:t>
      </w:r>
      <w:r w:rsidRPr="00CD6331">
        <w:rPr>
          <w:rFonts w:ascii="宋体" w:eastAsia="宋体" w:hAnsi="宋体" w:cs="宋体"/>
          <w:kern w:val="0"/>
          <w:sz w:val="24"/>
          <w:szCs w:val="24"/>
        </w:rPr>
        <w:br/>
        <w:t>电</w:t>
      </w:r>
      <w:proofErr w:type="gramStart"/>
      <w:r w:rsidRPr="00CD6331">
        <w:rPr>
          <w:rFonts w:ascii="宋体" w:eastAsia="宋体" w:hAnsi="宋体" w:cs="宋体"/>
          <w:kern w:val="0"/>
          <w:sz w:val="24"/>
          <w:szCs w:val="24"/>
        </w:rPr>
        <w:t>芯成本</w:t>
      </w:r>
      <w:proofErr w:type="gramEnd"/>
      <w:r w:rsidRPr="00CD6331">
        <w:rPr>
          <w:rFonts w:ascii="宋体" w:eastAsia="宋体" w:hAnsi="宋体" w:cs="宋体"/>
          <w:kern w:val="0"/>
          <w:sz w:val="24"/>
          <w:szCs w:val="24"/>
        </w:rPr>
        <w:t>为1.00元/Wh，占比约50%；PCS成本为0.15元/Wh，占比约7%；BMS、EMS等成本为0.26元/Wh，占比约13%；集装箱、线缆等成本为0.25元/Wh，占比约12%；设计、施工等</w:t>
      </w:r>
      <w:proofErr w:type="gramStart"/>
      <w:r w:rsidRPr="00CD6331">
        <w:rPr>
          <w:rFonts w:ascii="宋体" w:eastAsia="宋体" w:hAnsi="宋体" w:cs="宋体"/>
          <w:kern w:val="0"/>
          <w:sz w:val="24"/>
          <w:szCs w:val="24"/>
        </w:rPr>
        <w:t>非设施</w:t>
      </w:r>
      <w:proofErr w:type="gramEnd"/>
      <w:r w:rsidRPr="00CD6331">
        <w:rPr>
          <w:rFonts w:ascii="宋体" w:eastAsia="宋体" w:hAnsi="宋体" w:cs="宋体"/>
          <w:kern w:val="0"/>
          <w:sz w:val="24"/>
          <w:szCs w:val="24"/>
        </w:rPr>
        <w:t>部分成本为0.35元/Wh，占比约17%。</w:t>
      </w:r>
    </w:p>
    <w:p w14:paraId="7C5BC7EC" w14:textId="40AC9F30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67C167F" wp14:editId="3671A3FB">
            <wp:extent cx="5274310" cy="2555875"/>
            <wp:effectExtent l="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19228" w14:textId="77777777" w:rsidR="00CD6331" w:rsidRPr="00CD6331" w:rsidRDefault="00CD6331" w:rsidP="00CD633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color w:val="075589"/>
          <w:kern w:val="0"/>
          <w:sz w:val="18"/>
          <w:szCs w:val="18"/>
        </w:rPr>
        <w:t>工商业储能系统（LFP）成本拆分</w:t>
      </w:r>
    </w:p>
    <w:p w14:paraId="0520F841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CE0826B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color w:val="8F0505"/>
          <w:kern w:val="0"/>
          <w:sz w:val="24"/>
          <w:szCs w:val="24"/>
          <w:u w:val="single"/>
        </w:rPr>
        <w:t>3、储能系统运营机制</w:t>
      </w:r>
      <w:r w:rsidRPr="00CD6331">
        <w:rPr>
          <w:rFonts w:ascii="宋体" w:eastAsia="宋体" w:hAnsi="宋体" w:cs="宋体"/>
          <w:kern w:val="0"/>
          <w:sz w:val="24"/>
          <w:szCs w:val="24"/>
        </w:rPr>
        <w:br/>
        <w:t>以2022年广东省储能系统充放电策略为例。广东省每日用电高峰为14:00-19:00（其中尖峰电价在高峰</w:t>
      </w:r>
      <w:proofErr w:type="gramStart"/>
      <w:r w:rsidRPr="00CD6331">
        <w:rPr>
          <w:rFonts w:ascii="宋体" w:eastAsia="宋体" w:hAnsi="宋体" w:cs="宋体"/>
          <w:kern w:val="0"/>
          <w:sz w:val="24"/>
          <w:szCs w:val="24"/>
        </w:rPr>
        <w:t>段基础</w:t>
      </w:r>
      <w:proofErr w:type="gramEnd"/>
      <w:r w:rsidRPr="00CD6331">
        <w:rPr>
          <w:rFonts w:ascii="宋体" w:eastAsia="宋体" w:hAnsi="宋体" w:cs="宋体"/>
          <w:kern w:val="0"/>
          <w:sz w:val="24"/>
          <w:szCs w:val="24"/>
        </w:rPr>
        <w:t>上提升20%，执行时间为每年7、8、9月以及单日温度超过35℃）。因此储能系统会在每日6:00-8:00低谷时段充电，在10:00-12:00高峰段放电；在12:00-14:00平段充电，在15:00-17:00高峰段放电。即该储能系统在低谷和平段时充电，在两个高峰时放电，达到每日两次的充放电，使系统效用最大化、缩短项目静态回收期。</w:t>
      </w:r>
    </w:p>
    <w:p w14:paraId="2BF8348A" w14:textId="48EA8538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177E094" wp14:editId="53CF0B1F">
            <wp:extent cx="5274310" cy="2977515"/>
            <wp:effectExtent l="0" t="0" r="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45AA9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kern w:val="0"/>
          <w:sz w:val="24"/>
          <w:szCs w:val="24"/>
        </w:rPr>
        <w:t>2022年广东省2h储能系统充放电策略（单位：元/KWh）</w:t>
      </w:r>
    </w:p>
    <w:p w14:paraId="7E16FF00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3419BB5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color w:val="8F0505"/>
          <w:kern w:val="0"/>
          <w:sz w:val="24"/>
          <w:szCs w:val="24"/>
          <w:u w:val="single"/>
        </w:rPr>
        <w:t>4、工商业储能经济性测算核心假设</w:t>
      </w:r>
      <w:r w:rsidRPr="00CD6331">
        <w:rPr>
          <w:rFonts w:ascii="宋体" w:eastAsia="宋体" w:hAnsi="宋体" w:cs="宋体"/>
          <w:kern w:val="0"/>
          <w:sz w:val="24"/>
          <w:szCs w:val="24"/>
        </w:rPr>
        <w:br/>
        <w:t>假定储能装机规模为10MW，用户侧使用时可使储能系统完全充放电，储能系统单位投资额为2元/Wh，每天充放电次数为2次，</w:t>
      </w:r>
      <w:proofErr w:type="gramStart"/>
      <w:r w:rsidRPr="00CD6331">
        <w:rPr>
          <w:rFonts w:ascii="宋体" w:eastAsia="宋体" w:hAnsi="宋体" w:cs="宋体"/>
          <w:kern w:val="0"/>
          <w:sz w:val="24"/>
          <w:szCs w:val="24"/>
        </w:rPr>
        <w:t>配储时</w:t>
      </w:r>
      <w:proofErr w:type="gramEnd"/>
      <w:r w:rsidRPr="00CD6331">
        <w:rPr>
          <w:rFonts w:ascii="宋体" w:eastAsia="宋体" w:hAnsi="宋体" w:cs="宋体"/>
          <w:kern w:val="0"/>
          <w:sz w:val="24"/>
          <w:szCs w:val="24"/>
        </w:rPr>
        <w:t>长2h，运营周期为10年，峰谷价差为0.6元/kWh，其IRR约7.6%，预计6.7年可以收回投资。</w:t>
      </w:r>
    </w:p>
    <w:p w14:paraId="16FF6093" w14:textId="679C5EB9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EEF4A76" wp14:editId="530450CB">
            <wp:extent cx="5274310" cy="2325370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89781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kern w:val="0"/>
          <w:sz w:val="24"/>
          <w:szCs w:val="24"/>
        </w:rPr>
        <w:t>工商业储能经济性测算核心假设</w:t>
      </w:r>
    </w:p>
    <w:p w14:paraId="5649213B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E8CA774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kern w:val="0"/>
          <w:sz w:val="24"/>
          <w:szCs w:val="24"/>
        </w:rPr>
        <w:t>随着未来各地峰谷价差将会进一步扩大，同时规模效应带来的储能系统初始投资额下行，工商业储能的经济性凸显。进一步测算，当储能系统的初始投资成本为2元/Wh、峰谷价差大于0.7元/kWh时，工商业储能项目的IRR可超15%。</w:t>
      </w:r>
      <w:proofErr w:type="gramStart"/>
      <w:r w:rsidRPr="00CD6331">
        <w:rPr>
          <w:rFonts w:ascii="宋体" w:eastAsia="宋体" w:hAnsi="宋体" w:cs="宋体"/>
          <w:kern w:val="0"/>
          <w:sz w:val="24"/>
          <w:szCs w:val="24"/>
        </w:rPr>
        <w:t>待行业</w:t>
      </w:r>
      <w:proofErr w:type="gramEnd"/>
      <w:r w:rsidRPr="00CD6331">
        <w:rPr>
          <w:rFonts w:ascii="宋体" w:eastAsia="宋体" w:hAnsi="宋体" w:cs="宋体"/>
          <w:kern w:val="0"/>
          <w:sz w:val="24"/>
          <w:szCs w:val="24"/>
        </w:rPr>
        <w:t>成熟，初始投资成本为1.8元/Wh、峰谷价差为1元/kWh时，储能项目的IRR可达26.6%，静态投资回收期仅为3.4年，此时项目盈利能力显著提升、流动性风险大幅降低。</w:t>
      </w:r>
    </w:p>
    <w:p w14:paraId="0500F0E0" w14:textId="0859EE51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D08494B" wp14:editId="32DAA0DC">
            <wp:extent cx="5274310" cy="1508125"/>
            <wp:effectExtent l="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56BCA" w14:textId="77777777" w:rsidR="00CD6331" w:rsidRPr="00CD6331" w:rsidRDefault="00CD6331" w:rsidP="00CD633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color w:val="075589"/>
          <w:kern w:val="0"/>
          <w:sz w:val="18"/>
          <w:szCs w:val="18"/>
        </w:rPr>
        <w:t>工商业储能项目IRR分析</w:t>
      </w:r>
    </w:p>
    <w:p w14:paraId="06A4D085" w14:textId="23E4283B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1F06D1C" wp14:editId="03D1D4FA">
            <wp:extent cx="5274310" cy="1499870"/>
            <wp:effectExtent l="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03144" w14:textId="77777777" w:rsidR="00CD6331" w:rsidRPr="00CD6331" w:rsidRDefault="00CD6331" w:rsidP="00CD633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color w:val="075589"/>
          <w:kern w:val="0"/>
          <w:sz w:val="18"/>
          <w:szCs w:val="18"/>
        </w:rPr>
        <w:t>工商业储能项目静态投资回收期分析（单位：年）</w:t>
      </w:r>
    </w:p>
    <w:p w14:paraId="62CEEB52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7269F1A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FB27B04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b/>
          <w:bCs/>
          <w:kern w:val="0"/>
          <w:sz w:val="24"/>
          <w:szCs w:val="24"/>
        </w:rPr>
        <w:t>工商业储能发展现状</w:t>
      </w:r>
    </w:p>
    <w:p w14:paraId="5D2628BC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color w:val="8F0505"/>
          <w:kern w:val="0"/>
          <w:sz w:val="24"/>
          <w:szCs w:val="24"/>
          <w:u w:val="single"/>
        </w:rPr>
        <w:t>1、发展现状</w:t>
      </w:r>
      <w:r w:rsidRPr="00CD6331">
        <w:rPr>
          <w:rFonts w:ascii="宋体" w:eastAsia="宋体" w:hAnsi="宋体" w:cs="宋体"/>
          <w:kern w:val="0"/>
          <w:sz w:val="24"/>
          <w:szCs w:val="24"/>
        </w:rPr>
        <w:br/>
        <w:t>随着峰谷价差持续拉大，工商业储能盈利能力加强，国内工商业储能发展加速。2022年我国工商业储能新增装机规模365.2MW，装机累计规模达到705.5MW。</w:t>
      </w:r>
    </w:p>
    <w:p w14:paraId="1BF59DCC" w14:textId="2F8985E4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F967AC0" wp14:editId="5E564B09">
            <wp:extent cx="5274310" cy="321183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36B5C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kern w:val="0"/>
          <w:sz w:val="24"/>
          <w:szCs w:val="24"/>
        </w:rPr>
        <w:t>目前我国工商业储能已经进入发展成长期，多地工商业储能项目投入使用。</w:t>
      </w:r>
    </w:p>
    <w:p w14:paraId="562A7080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kern w:val="0"/>
          <w:sz w:val="24"/>
          <w:szCs w:val="24"/>
        </w:rPr>
        <w:br/>
        <w:t>比如绍兴市新昌县“光储充”一体化充电站由光伏系统、储能系统以及</w:t>
      </w:r>
      <w:proofErr w:type="gramStart"/>
      <w:r w:rsidRPr="00CD6331">
        <w:rPr>
          <w:rFonts w:ascii="宋体" w:eastAsia="宋体" w:hAnsi="宋体" w:cs="宋体"/>
          <w:kern w:val="0"/>
          <w:sz w:val="24"/>
          <w:szCs w:val="24"/>
        </w:rPr>
        <w:t>充电桩三大系统</w:t>
      </w:r>
      <w:proofErr w:type="gramEnd"/>
      <w:r w:rsidRPr="00CD6331">
        <w:rPr>
          <w:rFonts w:ascii="宋体" w:eastAsia="宋体" w:hAnsi="宋体" w:cs="宋体"/>
          <w:kern w:val="0"/>
          <w:sz w:val="24"/>
          <w:szCs w:val="24"/>
        </w:rPr>
        <w:t>组成。光伏系统集成在车棚棚顶，拥有8台60KW一体单枪</w:t>
      </w:r>
      <w:proofErr w:type="gramStart"/>
      <w:r w:rsidRPr="00CD6331">
        <w:rPr>
          <w:rFonts w:ascii="宋体" w:eastAsia="宋体" w:hAnsi="宋体" w:cs="宋体"/>
          <w:kern w:val="0"/>
          <w:sz w:val="24"/>
          <w:szCs w:val="24"/>
        </w:rPr>
        <w:t>式快充</w:t>
      </w:r>
      <w:proofErr w:type="gramEnd"/>
      <w:r w:rsidRPr="00CD6331">
        <w:rPr>
          <w:rFonts w:ascii="宋体" w:eastAsia="宋体" w:hAnsi="宋体" w:cs="宋体"/>
          <w:kern w:val="0"/>
          <w:sz w:val="24"/>
          <w:szCs w:val="24"/>
        </w:rPr>
        <w:t>充电桩。上海新华科技园区175kW/500kWh 储能系统，将所有设备集成于标准20英尺集装箱内，其中包含了：PACK电池、PCS、BMS、EMS以及消防系统。根据园区用电负荷变化结合当前的峰谷时间，调整储能系统充放电策略，充分利用削峰填谷机制，有效节省了园区电耗。</w:t>
      </w:r>
    </w:p>
    <w:p w14:paraId="352AD4AA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72D4264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color w:val="8F0505"/>
          <w:kern w:val="0"/>
          <w:sz w:val="24"/>
          <w:szCs w:val="24"/>
          <w:u w:val="single"/>
        </w:rPr>
        <w:t>2、工商业储能补贴政策</w:t>
      </w:r>
      <w:r w:rsidRPr="00CD6331">
        <w:rPr>
          <w:rFonts w:ascii="宋体" w:eastAsia="宋体" w:hAnsi="宋体" w:cs="宋体"/>
          <w:kern w:val="0"/>
          <w:sz w:val="24"/>
          <w:szCs w:val="24"/>
        </w:rPr>
        <w:br/>
        <w:t>2022年至今，浙江、广东、江苏、重庆、安徽、天津等多个地区陆续工商业储能直接补贴政策。对工商业储能给予直接补贴政策，也成为一些地方政府争取项目投资、产业落地的重要手段之一。截至目前全国各地正在执行的储能补贴政储能补贴政策主要以用户</w:t>
      </w:r>
      <w:proofErr w:type="gramStart"/>
      <w:r w:rsidRPr="00CD6331">
        <w:rPr>
          <w:rFonts w:ascii="宋体" w:eastAsia="宋体" w:hAnsi="宋体" w:cs="宋体"/>
          <w:kern w:val="0"/>
          <w:sz w:val="24"/>
          <w:szCs w:val="24"/>
        </w:rPr>
        <w:t>侧为主</w:t>
      </w:r>
      <w:proofErr w:type="gramEnd"/>
      <w:r w:rsidRPr="00CD6331">
        <w:rPr>
          <w:rFonts w:ascii="宋体" w:eastAsia="宋体" w:hAnsi="宋体" w:cs="宋体"/>
          <w:kern w:val="0"/>
          <w:sz w:val="24"/>
          <w:szCs w:val="24"/>
        </w:rPr>
        <w:t>注重与分布式</w:t>
      </w:r>
      <w:proofErr w:type="gramStart"/>
      <w:r w:rsidRPr="00CD6331">
        <w:rPr>
          <w:rFonts w:ascii="宋体" w:eastAsia="宋体" w:hAnsi="宋体" w:cs="宋体"/>
          <w:kern w:val="0"/>
          <w:sz w:val="24"/>
          <w:szCs w:val="24"/>
        </w:rPr>
        <w:t>光伏相结合</w:t>
      </w:r>
      <w:proofErr w:type="gramEnd"/>
      <w:r w:rsidRPr="00CD6331">
        <w:rPr>
          <w:rFonts w:ascii="宋体" w:eastAsia="宋体" w:hAnsi="宋体" w:cs="宋体"/>
          <w:kern w:val="0"/>
          <w:sz w:val="24"/>
          <w:szCs w:val="24"/>
        </w:rPr>
        <w:t>，地方招商产业需求较为旺盛；补贴方式主要以容量补贴、放电补贴和投资补贴为主，补贴方向主要与分布式光</w:t>
      </w:r>
      <w:proofErr w:type="gramStart"/>
      <w:r w:rsidRPr="00CD6331">
        <w:rPr>
          <w:rFonts w:ascii="宋体" w:eastAsia="宋体" w:hAnsi="宋体" w:cs="宋体"/>
          <w:kern w:val="0"/>
          <w:sz w:val="24"/>
          <w:szCs w:val="24"/>
        </w:rPr>
        <w:t>伏结合</w:t>
      </w:r>
      <w:proofErr w:type="gramEnd"/>
      <w:r w:rsidRPr="00CD6331">
        <w:rPr>
          <w:rFonts w:ascii="宋体" w:eastAsia="宋体" w:hAnsi="宋体" w:cs="宋体"/>
          <w:kern w:val="0"/>
          <w:sz w:val="24"/>
          <w:szCs w:val="24"/>
        </w:rPr>
        <w:t>为主。其中浙江、江苏、四川、安徽、广东等地政策出台最为密集，浙江省龙港市、北京市、重庆市铜梁区等地方政策支持力度较大。</w:t>
      </w:r>
    </w:p>
    <w:p w14:paraId="2E58DEDB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26A39F2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color w:val="8F0505"/>
          <w:kern w:val="0"/>
          <w:sz w:val="24"/>
          <w:szCs w:val="24"/>
          <w:u w:val="single"/>
        </w:rPr>
        <w:t>3、工商业储能参与企业</w:t>
      </w:r>
      <w:r w:rsidRPr="00CD6331">
        <w:rPr>
          <w:rFonts w:ascii="宋体" w:eastAsia="宋体" w:hAnsi="宋体" w:cs="宋体"/>
          <w:kern w:val="0"/>
          <w:sz w:val="24"/>
          <w:szCs w:val="24"/>
        </w:rPr>
        <w:br/>
        <w:t>目前国内规模较大的工商业储能系统一体化公司包括阳光电源、阿诗特能源、时代星云、沃</w:t>
      </w:r>
      <w:proofErr w:type="gramStart"/>
      <w:r w:rsidRPr="00CD6331">
        <w:rPr>
          <w:rFonts w:ascii="宋体" w:eastAsia="宋体" w:hAnsi="宋体" w:cs="宋体"/>
          <w:kern w:val="0"/>
          <w:sz w:val="24"/>
          <w:szCs w:val="24"/>
        </w:rPr>
        <w:t>太</w:t>
      </w:r>
      <w:proofErr w:type="gramEnd"/>
      <w:r w:rsidRPr="00CD6331">
        <w:rPr>
          <w:rFonts w:ascii="宋体" w:eastAsia="宋体" w:hAnsi="宋体" w:cs="宋体"/>
          <w:kern w:val="0"/>
          <w:sz w:val="24"/>
          <w:szCs w:val="24"/>
        </w:rPr>
        <w:t>能源、奇点能源、正泰电源等。行业尚处发展初期，各公司处于探索阶段，未来新进企业可以通过融资、产品差异化开发、拓宽销售渠道和提升品牌形象等方式实现弯道超车。</w:t>
      </w:r>
    </w:p>
    <w:p w14:paraId="603DD034" w14:textId="3E9CE7D8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AEFFEB3" wp14:editId="7FF6EADC">
            <wp:extent cx="5274310" cy="2274570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94C2F" w14:textId="77777777" w:rsidR="00CD6331" w:rsidRPr="00CD6331" w:rsidRDefault="00CD6331" w:rsidP="00CD63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6331">
        <w:rPr>
          <w:rFonts w:ascii="宋体" w:eastAsia="宋体" w:hAnsi="宋体" w:cs="宋体"/>
          <w:kern w:val="0"/>
          <w:sz w:val="24"/>
          <w:szCs w:val="24"/>
        </w:rPr>
        <w:t>工商业储能行业主要公司（部分）</w:t>
      </w:r>
    </w:p>
    <w:p w14:paraId="2CE1FA38" w14:textId="77777777" w:rsidR="003D585E" w:rsidRPr="00CD6331" w:rsidRDefault="003D585E" w:rsidP="00CD6331"/>
    <w:sectPr w:rsidR="003D585E" w:rsidRPr="00CD6331" w:rsidSect="00BC4B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933E5" w14:textId="77777777" w:rsidR="0031409A" w:rsidRDefault="0031409A" w:rsidP="00864F26">
      <w:r>
        <w:separator/>
      </w:r>
    </w:p>
  </w:endnote>
  <w:endnote w:type="continuationSeparator" w:id="0">
    <w:p w14:paraId="3831378B" w14:textId="77777777" w:rsidR="0031409A" w:rsidRDefault="0031409A" w:rsidP="00864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D3FA1" w14:textId="77777777" w:rsidR="0031409A" w:rsidRDefault="0031409A" w:rsidP="00864F26">
      <w:r>
        <w:separator/>
      </w:r>
    </w:p>
  </w:footnote>
  <w:footnote w:type="continuationSeparator" w:id="0">
    <w:p w14:paraId="678B17C8" w14:textId="77777777" w:rsidR="0031409A" w:rsidRDefault="0031409A" w:rsidP="00864F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68E4"/>
    <w:rsid w:val="00035E81"/>
    <w:rsid w:val="000754AB"/>
    <w:rsid w:val="000879B3"/>
    <w:rsid w:val="00096C72"/>
    <w:rsid w:val="000B5DD1"/>
    <w:rsid w:val="000B757A"/>
    <w:rsid w:val="000C1A08"/>
    <w:rsid w:val="000F536D"/>
    <w:rsid w:val="0013302A"/>
    <w:rsid w:val="00133A3E"/>
    <w:rsid w:val="00137F94"/>
    <w:rsid w:val="0014332A"/>
    <w:rsid w:val="00172D4B"/>
    <w:rsid w:val="0017636C"/>
    <w:rsid w:val="001865C1"/>
    <w:rsid w:val="00193468"/>
    <w:rsid w:val="0019720F"/>
    <w:rsid w:val="001B57AA"/>
    <w:rsid w:val="001E5732"/>
    <w:rsid w:val="001F7C8D"/>
    <w:rsid w:val="00223163"/>
    <w:rsid w:val="0023236A"/>
    <w:rsid w:val="00243B70"/>
    <w:rsid w:val="00255804"/>
    <w:rsid w:val="002644B9"/>
    <w:rsid w:val="002A450D"/>
    <w:rsid w:val="002A7419"/>
    <w:rsid w:val="002E4B2C"/>
    <w:rsid w:val="002F242E"/>
    <w:rsid w:val="0031409A"/>
    <w:rsid w:val="00346F89"/>
    <w:rsid w:val="0036354C"/>
    <w:rsid w:val="00364DB3"/>
    <w:rsid w:val="0037521E"/>
    <w:rsid w:val="00396D7C"/>
    <w:rsid w:val="003B47CD"/>
    <w:rsid w:val="003C626E"/>
    <w:rsid w:val="003D585E"/>
    <w:rsid w:val="003E5140"/>
    <w:rsid w:val="00445340"/>
    <w:rsid w:val="00452755"/>
    <w:rsid w:val="0045718C"/>
    <w:rsid w:val="004B1DA5"/>
    <w:rsid w:val="004E7212"/>
    <w:rsid w:val="005641C3"/>
    <w:rsid w:val="00566E83"/>
    <w:rsid w:val="00572B64"/>
    <w:rsid w:val="00584B42"/>
    <w:rsid w:val="005B5273"/>
    <w:rsid w:val="005D4EDE"/>
    <w:rsid w:val="005E0F13"/>
    <w:rsid w:val="00604729"/>
    <w:rsid w:val="006865B8"/>
    <w:rsid w:val="00694B68"/>
    <w:rsid w:val="006A63A3"/>
    <w:rsid w:val="006E3BDC"/>
    <w:rsid w:val="007007E5"/>
    <w:rsid w:val="00713885"/>
    <w:rsid w:val="00746540"/>
    <w:rsid w:val="00750867"/>
    <w:rsid w:val="0078036A"/>
    <w:rsid w:val="007820CC"/>
    <w:rsid w:val="007A2D09"/>
    <w:rsid w:val="007A7043"/>
    <w:rsid w:val="007B078E"/>
    <w:rsid w:val="007E2ECB"/>
    <w:rsid w:val="007F4CB4"/>
    <w:rsid w:val="0082799A"/>
    <w:rsid w:val="00864F26"/>
    <w:rsid w:val="008716D3"/>
    <w:rsid w:val="008905F3"/>
    <w:rsid w:val="008971DD"/>
    <w:rsid w:val="00916FDC"/>
    <w:rsid w:val="0094787A"/>
    <w:rsid w:val="009C0A4F"/>
    <w:rsid w:val="009D1BF9"/>
    <w:rsid w:val="009F1056"/>
    <w:rsid w:val="009F5CA8"/>
    <w:rsid w:val="00A058F7"/>
    <w:rsid w:val="00A220F3"/>
    <w:rsid w:val="00A25E13"/>
    <w:rsid w:val="00A4622B"/>
    <w:rsid w:val="00A81813"/>
    <w:rsid w:val="00A81967"/>
    <w:rsid w:val="00A918BF"/>
    <w:rsid w:val="00AB6FA0"/>
    <w:rsid w:val="00AB7066"/>
    <w:rsid w:val="00AC7CF3"/>
    <w:rsid w:val="00AD6748"/>
    <w:rsid w:val="00AF7D91"/>
    <w:rsid w:val="00B038C5"/>
    <w:rsid w:val="00B12EB2"/>
    <w:rsid w:val="00B16C60"/>
    <w:rsid w:val="00B1737D"/>
    <w:rsid w:val="00B2287C"/>
    <w:rsid w:val="00B5568C"/>
    <w:rsid w:val="00B77643"/>
    <w:rsid w:val="00B93670"/>
    <w:rsid w:val="00BC2E3D"/>
    <w:rsid w:val="00BC4BFC"/>
    <w:rsid w:val="00C025AA"/>
    <w:rsid w:val="00C44233"/>
    <w:rsid w:val="00C51930"/>
    <w:rsid w:val="00C84EF5"/>
    <w:rsid w:val="00CA4FA8"/>
    <w:rsid w:val="00CB0266"/>
    <w:rsid w:val="00CD1B06"/>
    <w:rsid w:val="00CD4814"/>
    <w:rsid w:val="00CD6331"/>
    <w:rsid w:val="00CD7DC4"/>
    <w:rsid w:val="00CE1445"/>
    <w:rsid w:val="00CE4186"/>
    <w:rsid w:val="00CE4EEA"/>
    <w:rsid w:val="00D02B00"/>
    <w:rsid w:val="00D13552"/>
    <w:rsid w:val="00D21CDA"/>
    <w:rsid w:val="00D24A82"/>
    <w:rsid w:val="00D54AFC"/>
    <w:rsid w:val="00D56291"/>
    <w:rsid w:val="00D568A6"/>
    <w:rsid w:val="00D57107"/>
    <w:rsid w:val="00D635C6"/>
    <w:rsid w:val="00D7535C"/>
    <w:rsid w:val="00D81477"/>
    <w:rsid w:val="00D8463B"/>
    <w:rsid w:val="00D962C2"/>
    <w:rsid w:val="00DA2296"/>
    <w:rsid w:val="00DB575D"/>
    <w:rsid w:val="00DC7E13"/>
    <w:rsid w:val="00DD578E"/>
    <w:rsid w:val="00DE7CC6"/>
    <w:rsid w:val="00E079DD"/>
    <w:rsid w:val="00E62A67"/>
    <w:rsid w:val="00E76B79"/>
    <w:rsid w:val="00E770DA"/>
    <w:rsid w:val="00E91896"/>
    <w:rsid w:val="00EA3226"/>
    <w:rsid w:val="00EB2008"/>
    <w:rsid w:val="00EF62B1"/>
    <w:rsid w:val="00F32E54"/>
    <w:rsid w:val="00F333E8"/>
    <w:rsid w:val="00F47969"/>
    <w:rsid w:val="00F52DE7"/>
    <w:rsid w:val="00FA0F74"/>
    <w:rsid w:val="00FD68E4"/>
    <w:rsid w:val="014E1E79"/>
    <w:rsid w:val="0409530B"/>
    <w:rsid w:val="08153E45"/>
    <w:rsid w:val="0B1F5B97"/>
    <w:rsid w:val="0CC10A65"/>
    <w:rsid w:val="0F120A94"/>
    <w:rsid w:val="1503595C"/>
    <w:rsid w:val="1AA85CDD"/>
    <w:rsid w:val="1BEA7AF4"/>
    <w:rsid w:val="1F063C6D"/>
    <w:rsid w:val="1F9E33CD"/>
    <w:rsid w:val="21921716"/>
    <w:rsid w:val="22003265"/>
    <w:rsid w:val="25D30548"/>
    <w:rsid w:val="25D94DD8"/>
    <w:rsid w:val="2BE17979"/>
    <w:rsid w:val="2DD4724D"/>
    <w:rsid w:val="35F13F49"/>
    <w:rsid w:val="37AD71ED"/>
    <w:rsid w:val="39B27352"/>
    <w:rsid w:val="3E251276"/>
    <w:rsid w:val="414B4FD8"/>
    <w:rsid w:val="43D1502B"/>
    <w:rsid w:val="44BC0F57"/>
    <w:rsid w:val="45C227B0"/>
    <w:rsid w:val="46EE1FB7"/>
    <w:rsid w:val="4E312EBA"/>
    <w:rsid w:val="54E52BE4"/>
    <w:rsid w:val="57BA06DF"/>
    <w:rsid w:val="57E874C6"/>
    <w:rsid w:val="588E403E"/>
    <w:rsid w:val="60085392"/>
    <w:rsid w:val="668B348D"/>
    <w:rsid w:val="67F9667D"/>
    <w:rsid w:val="6BD666FC"/>
    <w:rsid w:val="6E205F40"/>
    <w:rsid w:val="72871ABD"/>
    <w:rsid w:val="755D7B0B"/>
    <w:rsid w:val="765A644D"/>
    <w:rsid w:val="767976DB"/>
    <w:rsid w:val="76985D2C"/>
    <w:rsid w:val="77A97DCC"/>
    <w:rsid w:val="789C3DBB"/>
    <w:rsid w:val="7CE33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2CAAAE"/>
  <w15:docId w15:val="{41017B33-1743-489D-8B7E-7DBBDE48E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4BF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link w:val="10"/>
    <w:uiPriority w:val="9"/>
    <w:qFormat/>
    <w:rsid w:val="00CD633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rsid w:val="00BC4B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rsid w:val="00BC4B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rsid w:val="00BC4B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sid w:val="00BC4BFC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BC4BFC"/>
    <w:rPr>
      <w:sz w:val="18"/>
      <w:szCs w:val="18"/>
    </w:rPr>
  </w:style>
  <w:style w:type="paragraph" w:customStyle="1" w:styleId="11">
    <w:name w:val="列出段落1"/>
    <w:basedOn w:val="a"/>
    <w:uiPriority w:val="99"/>
    <w:unhideWhenUsed/>
    <w:qFormat/>
    <w:rsid w:val="00BC4BFC"/>
    <w:pPr>
      <w:ind w:firstLineChars="200" w:firstLine="420"/>
    </w:pPr>
  </w:style>
  <w:style w:type="paragraph" w:styleId="a8">
    <w:name w:val="Normal (Web)"/>
    <w:basedOn w:val="a"/>
    <w:uiPriority w:val="99"/>
    <w:semiHidden/>
    <w:unhideWhenUsed/>
    <w:rsid w:val="00CD633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CD6331"/>
    <w:rPr>
      <w:b/>
      <w:bCs/>
    </w:rPr>
  </w:style>
  <w:style w:type="character" w:customStyle="1" w:styleId="10">
    <w:name w:val="标题 1 字符"/>
    <w:basedOn w:val="a0"/>
    <w:link w:val="1"/>
    <w:uiPriority w:val="9"/>
    <w:rsid w:val="00CD6331"/>
    <w:rPr>
      <w:rFonts w:ascii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7</Pages>
  <Words>397</Words>
  <Characters>2268</Characters>
  <Application>Microsoft Office Word</Application>
  <DocSecurity>0</DocSecurity>
  <Lines>18</Lines>
  <Paragraphs>5</Paragraphs>
  <ScaleCrop>false</ScaleCrop>
  <Company>Microsoft</Company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Administrator</cp:lastModifiedBy>
  <cp:revision>68</cp:revision>
  <cp:lastPrinted>2020-07-17T01:39:00Z</cp:lastPrinted>
  <dcterms:created xsi:type="dcterms:W3CDTF">2020-07-17T02:03:00Z</dcterms:created>
  <dcterms:modified xsi:type="dcterms:W3CDTF">2023-07-06T06:16:00Z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