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sz w:val="44"/>
          <w:szCs w:val="44"/>
          <w:lang w:val="en-US" w:eastAsia="zh-CN"/>
        </w:rPr>
        <w:t>储能解决方案简述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/>
          <w:sz w:val="24"/>
          <w:szCs w:val="28"/>
        </w:rPr>
        <w:t>西安领充创享新能源科技有限公司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8"/>
        </w:rPr>
        <w:t>刘超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ascii="宋体" w:hAnsi="宋体" w:eastAsia="宋体"/>
          <w:sz w:val="24"/>
          <w:szCs w:val="28"/>
        </w:rPr>
        <w:t>3103718776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1．储能的配置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ascii="宋体" w:hAnsi="宋体" w:eastAsia="宋体"/>
          <w:sz w:val="24"/>
          <w:szCs w:val="28"/>
        </w:rPr>
        <w:t>.1</w:t>
      </w:r>
      <w:r>
        <w:rPr>
          <w:rFonts w:hint="eastAsia" w:ascii="宋体" w:hAnsi="宋体" w:eastAsia="宋体"/>
          <w:sz w:val="24"/>
          <w:szCs w:val="28"/>
        </w:rPr>
        <w:t>存在光伏等分布式电源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1）现有光伏配储：根据现有光伏的运行情况、负载的消纳情况、不同时间段的用电情况，综合分析后确定储能的最佳配置；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2）在建光伏规划配储：根据Pvsyst软件模拟该地区每年的发电情况，根据规划判断负载的综合用电情况，制定最优储能配置；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ascii="宋体" w:hAnsi="宋体" w:eastAsia="宋体"/>
          <w:sz w:val="24"/>
          <w:szCs w:val="28"/>
        </w:rPr>
        <w:t>.2</w:t>
      </w:r>
      <w:r>
        <w:rPr>
          <w:rFonts w:hint="eastAsia" w:ascii="宋体" w:hAnsi="宋体" w:eastAsia="宋体"/>
          <w:sz w:val="24"/>
          <w:szCs w:val="28"/>
        </w:rPr>
        <w:t>用电量特大的生产性企业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1）结合各个时间段内的用电情况、现有配电架构、配电可接入情况等因素综合考虑储能的配置情况；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2）此类企业配储的主要用途为削峰填谷，根据每天时间段的划分，实行不同的运行策略，减少峰时段电能成本的支出；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1</w:t>
      </w:r>
      <w:r>
        <w:rPr>
          <w:rFonts w:ascii="宋体" w:hAnsi="宋体" w:eastAsia="宋体"/>
          <w:sz w:val="24"/>
          <w:szCs w:val="28"/>
        </w:rPr>
        <w:t>.3</w:t>
      </w:r>
      <w:r>
        <w:rPr>
          <w:rFonts w:hint="eastAsia" w:ascii="宋体" w:hAnsi="宋体" w:eastAsia="宋体"/>
          <w:sz w:val="24"/>
          <w:szCs w:val="28"/>
        </w:rPr>
        <w:t>容量不足、供电不稳定场所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根据需要进行储能配置，实现动态增容、三相不平衡治理等功效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2</w:t>
      </w:r>
      <w:r>
        <w:rPr>
          <w:rFonts w:hint="eastAsia" w:ascii="宋体" w:hAnsi="宋体" w:eastAsia="宋体"/>
          <w:sz w:val="24"/>
          <w:szCs w:val="28"/>
        </w:rPr>
        <w:t>．储能运行策略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结合发电单元、用电单元、配电网络架构，对储能单元的充放电进行实时的管控，以最优的运行策略提高项目的综合收益率。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t>3</w:t>
      </w:r>
      <w:r>
        <w:rPr>
          <w:rFonts w:hint="eastAsia" w:ascii="宋体" w:hAnsi="宋体" w:eastAsia="宋体"/>
          <w:sz w:val="24"/>
          <w:szCs w:val="28"/>
        </w:rPr>
        <w:t>．离网运行功能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根据离网情况下负载的综合用电情况，储能以及光伏等发电单元可孤岛运行，为负载进行持续供电；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>.</w:t>
      </w:r>
      <w:r>
        <w:rPr>
          <w:rFonts w:hint="eastAsia" w:ascii="宋体" w:hAnsi="宋体" w:eastAsia="宋体"/>
          <w:sz w:val="24"/>
          <w:szCs w:val="28"/>
        </w:rPr>
        <w:t>主要应用场景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 xml:space="preserve">.1 </w:t>
      </w:r>
      <w:r>
        <w:rPr>
          <w:rFonts w:hint="eastAsia" w:ascii="宋体" w:hAnsi="宋体" w:eastAsia="宋体"/>
          <w:sz w:val="24"/>
          <w:szCs w:val="28"/>
        </w:rPr>
        <w:t>配电台区：解决重过载、低电压、三相不平衡、功率因数等问题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 xml:space="preserve">.2 </w:t>
      </w:r>
      <w:r>
        <w:rPr>
          <w:rFonts w:hint="eastAsia" w:ascii="宋体" w:hAnsi="宋体" w:eastAsia="宋体"/>
          <w:sz w:val="24"/>
          <w:szCs w:val="28"/>
        </w:rPr>
        <w:t>新能源消纳：提升绿电消纳率、促进本地消纳、平抑电能波动、提升电能质量；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 xml:space="preserve">.3 </w:t>
      </w:r>
      <w:r>
        <w:rPr>
          <w:rFonts w:hint="eastAsia" w:ascii="宋体" w:hAnsi="宋体" w:eastAsia="宋体"/>
          <w:sz w:val="24"/>
          <w:szCs w:val="28"/>
        </w:rPr>
        <w:t>工商业园区：离网保电、将本增效；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 xml:space="preserve">.4 </w:t>
      </w:r>
      <w:r>
        <w:rPr>
          <w:rFonts w:hint="eastAsia" w:ascii="宋体" w:hAnsi="宋体" w:eastAsia="宋体"/>
          <w:sz w:val="24"/>
          <w:szCs w:val="28"/>
        </w:rPr>
        <w:t>一体化建设：动态增容、平滑电能输出、示范意义；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4</w:t>
      </w:r>
      <w:r>
        <w:rPr>
          <w:rFonts w:ascii="宋体" w:hAnsi="宋体" w:eastAsia="宋体"/>
          <w:sz w:val="24"/>
          <w:szCs w:val="28"/>
        </w:rPr>
        <w:t xml:space="preserve">.5 </w:t>
      </w:r>
      <w:r>
        <w:rPr>
          <w:rFonts w:hint="eastAsia" w:ascii="宋体" w:hAnsi="宋体" w:eastAsia="宋体"/>
          <w:sz w:val="24"/>
          <w:szCs w:val="28"/>
        </w:rPr>
        <w:t>孤岛供电：解决供电难问题、提升新能源电能的消纳率等。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例如：某工厂1年内不同时间段内的电表数据如下：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8"/>
        </w:rPr>
      </w:pPr>
      <w:r>
        <w:rPr>
          <w:rFonts w:ascii="宋体" w:hAnsi="宋体" w:eastAsia="宋体"/>
          <w:sz w:val="24"/>
          <w:szCs w:val="28"/>
        </w:rPr>
        <w:drawing>
          <wp:inline distT="0" distB="0" distL="0" distR="0">
            <wp:extent cx="3935730" cy="4831080"/>
            <wp:effectExtent l="0" t="0" r="7620" b="7620"/>
            <wp:docPr id="1496585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58500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4" cy="484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光伏每个月份都存在大量上网的情况，结合当地峰谷时间段，确定储能的运行模式只能进行1充1放，根据负载的综合用电量数据，储能的最佳配置为7</w:t>
      </w:r>
      <w:r>
        <w:rPr>
          <w:rFonts w:ascii="宋体" w:hAnsi="宋体" w:eastAsia="宋体"/>
          <w:sz w:val="24"/>
          <w:szCs w:val="28"/>
        </w:rPr>
        <w:t>50</w:t>
      </w:r>
      <w:r>
        <w:rPr>
          <w:rFonts w:hint="eastAsia" w:ascii="宋体" w:hAnsi="宋体" w:eastAsia="宋体"/>
          <w:sz w:val="24"/>
          <w:szCs w:val="28"/>
        </w:rPr>
        <w:t>kW</w:t>
      </w:r>
      <w:r>
        <w:rPr>
          <w:rFonts w:ascii="宋体" w:hAnsi="宋体" w:eastAsia="宋体"/>
          <w:sz w:val="24"/>
          <w:szCs w:val="28"/>
        </w:rPr>
        <w:t>/2.5MW</w:t>
      </w:r>
      <w:r>
        <w:rPr>
          <w:rFonts w:hint="eastAsia" w:ascii="宋体" w:hAnsi="宋体" w:eastAsia="宋体"/>
          <w:sz w:val="24"/>
          <w:szCs w:val="28"/>
        </w:rPr>
        <w:t>h最为合理。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具体技术沟通西安领充创享新能源科技有限公司刘超1</w:t>
      </w:r>
      <w:r>
        <w:rPr>
          <w:rFonts w:ascii="宋体" w:hAnsi="宋体" w:eastAsia="宋体"/>
          <w:sz w:val="24"/>
          <w:szCs w:val="28"/>
        </w:rPr>
        <w:t>3103718776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YmZiNGQ5ZjBmZDVlY2NkOWI5MWUwNDRkYWJkYTAifQ=="/>
  </w:docVars>
  <w:rsids>
    <w:rsidRoot w:val="007F55FE"/>
    <w:rsid w:val="000709A5"/>
    <w:rsid w:val="000A5A41"/>
    <w:rsid w:val="00403174"/>
    <w:rsid w:val="00604BD0"/>
    <w:rsid w:val="0079553E"/>
    <w:rsid w:val="007C6B05"/>
    <w:rsid w:val="007F55FE"/>
    <w:rsid w:val="00831059"/>
    <w:rsid w:val="00A82F52"/>
    <w:rsid w:val="00B41772"/>
    <w:rsid w:val="00DF19A1"/>
    <w:rsid w:val="00E659CA"/>
    <w:rsid w:val="00E86745"/>
    <w:rsid w:val="00E86770"/>
    <w:rsid w:val="00FA5C53"/>
    <w:rsid w:val="5341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695</Characters>
  <Lines>5</Lines>
  <Paragraphs>1</Paragraphs>
  <TotalTime>0</TotalTime>
  <ScaleCrop>false</ScaleCrop>
  <LinksUpToDate>false</LinksUpToDate>
  <CharactersWithSpaces>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2023-05-16T09:32:00Z</dcterms:created>
  <dc:creator>wind moon</dc:creator>
  <cp:lastModifiedBy>阿甲</cp:lastModifiedBy>
  <dcterms:modified xsi:type="dcterms:W3CDTF">2023-05-19T08:31:11Z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7457A721D6EC4DE19D552EDD7915269E_12</vt:lpwstr>
  </property>
</Properties>
</file>