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left="0" w:leftChars="0"/>
        <w:jc w:val="center"/>
        <w:rPr>
          <w:rFonts w:hint="eastAsia" w:ascii="宋体" w:hAnsi="宋体"/>
          <w:b/>
          <w:sz w:val="44"/>
          <w:szCs w:val="44"/>
          <w:lang w:val="en-US" w:eastAsia="zh-CN"/>
        </w:rPr>
      </w:pPr>
      <w:bookmarkStart w:id="0" w:name="_Toc342582241"/>
      <w:bookmarkStart w:id="1" w:name="_Toc444761210"/>
      <w:bookmarkStart w:id="2" w:name="_Toc329684166"/>
      <w:bookmarkStart w:id="3" w:name="_Toc116676532"/>
      <w:r>
        <w:rPr>
          <w:rFonts w:hint="eastAsia" w:ascii="宋体" w:hAnsi="宋体"/>
          <w:b/>
          <w:sz w:val="44"/>
          <w:szCs w:val="44"/>
          <w:lang w:val="en-US" w:eastAsia="zh-CN"/>
        </w:rPr>
        <w:t>南通华润燃气有限公司</w:t>
      </w:r>
    </w:p>
    <w:p>
      <w:pPr>
        <w:keepNext w:val="0"/>
        <w:keepLines w:val="0"/>
        <w:widowControl/>
        <w:suppressLineNumbers w:val="0"/>
        <w:jc w:val="center"/>
        <w:rPr>
          <w:rFonts w:ascii="宋体" w:hAnsi="宋体"/>
          <w:b/>
          <w:sz w:val="36"/>
          <w:szCs w:val="36"/>
        </w:rPr>
      </w:pPr>
      <w:r>
        <w:rPr>
          <w:rFonts w:hint="eastAsia" w:ascii="宋体" w:hAnsi="宋体" w:eastAsia="宋体" w:cs="宋体"/>
          <w:b/>
          <w:bCs/>
          <w:color w:val="000000"/>
          <w:kern w:val="0"/>
          <w:sz w:val="43"/>
          <w:szCs w:val="43"/>
          <w:lang w:val="en-US" w:eastAsia="zh-CN" w:bidi="ar"/>
        </w:rPr>
        <w:t>江苏甬金金属分布式光伏发电项目</w:t>
      </w:r>
    </w:p>
    <w:p>
      <w:pPr>
        <w:tabs>
          <w:tab w:val="left" w:pos="6862"/>
        </w:tabs>
        <w:spacing w:line="800" w:lineRule="exact"/>
        <w:ind w:left="0" w:leftChars="0"/>
        <w:jc w:val="left"/>
        <w:rPr>
          <w:rFonts w:hint="eastAsia" w:ascii="宋体" w:hAnsi="宋体"/>
          <w:sz w:val="28"/>
          <w:szCs w:val="28"/>
        </w:rPr>
      </w:pPr>
      <w:r>
        <w:rPr>
          <w:rFonts w:ascii="宋体" w:hAnsi="宋体"/>
          <w:sz w:val="28"/>
          <w:szCs w:val="28"/>
        </w:rPr>
        <w:tab/>
      </w:r>
    </w:p>
    <w:p>
      <w:pPr>
        <w:spacing w:line="800" w:lineRule="exact"/>
        <w:ind w:left="0" w:leftChars="0"/>
        <w:jc w:val="center"/>
        <w:rPr>
          <w:rFonts w:hint="eastAsia" w:ascii="宋体" w:hAnsi="宋体"/>
          <w:sz w:val="48"/>
          <w:szCs w:val="48"/>
        </w:rPr>
      </w:pPr>
    </w:p>
    <w:p>
      <w:pPr>
        <w:spacing w:line="800" w:lineRule="exact"/>
        <w:ind w:left="0" w:leftChars="0"/>
        <w:jc w:val="center"/>
        <w:rPr>
          <w:rFonts w:hint="eastAsia" w:ascii="宋体" w:hAnsi="宋体" w:eastAsia="宋体" w:cs="宋体"/>
          <w:b/>
          <w:color w:val="auto"/>
          <w:sz w:val="44"/>
          <w:szCs w:val="44"/>
          <w:lang w:eastAsia="zh-CN" w:bidi="ar"/>
        </w:rPr>
      </w:pPr>
      <w:r>
        <w:rPr>
          <w:rFonts w:hint="eastAsia" w:ascii="宋体" w:hAnsi="宋体" w:cs="宋体"/>
          <w:b/>
          <w:color w:val="auto"/>
          <w:sz w:val="44"/>
          <w:szCs w:val="44"/>
          <w:lang w:eastAsia="zh-CN" w:bidi="ar"/>
        </w:rPr>
        <w:t>10kV</w:t>
      </w:r>
      <w:r>
        <w:rPr>
          <w:rFonts w:hint="eastAsia" w:ascii="宋体" w:hAnsi="宋体" w:eastAsia="宋体" w:cs="宋体"/>
          <w:b/>
          <w:color w:val="auto"/>
          <w:sz w:val="44"/>
          <w:szCs w:val="44"/>
          <w:lang w:bidi="ar"/>
        </w:rPr>
        <w:t>箱式变压器</w:t>
      </w:r>
      <w:r>
        <w:rPr>
          <w:rFonts w:hint="eastAsia" w:ascii="宋体" w:hAnsi="宋体" w:eastAsia="宋体" w:cs="宋体"/>
          <w:b/>
          <w:color w:val="auto"/>
          <w:sz w:val="44"/>
          <w:szCs w:val="44"/>
          <w:lang w:eastAsia="zh-CN" w:bidi="ar"/>
        </w:rPr>
        <w:t>（</w:t>
      </w:r>
      <w:r>
        <w:rPr>
          <w:rFonts w:hint="eastAsia" w:ascii="宋体" w:hAnsi="宋体" w:eastAsia="宋体" w:cs="宋体"/>
          <w:b/>
          <w:color w:val="auto"/>
          <w:sz w:val="44"/>
          <w:szCs w:val="44"/>
          <w:lang w:val="en-US" w:eastAsia="zh-CN" w:bidi="ar"/>
        </w:rPr>
        <w:t>欧变</w:t>
      </w:r>
      <w:r>
        <w:rPr>
          <w:rFonts w:hint="eastAsia" w:ascii="宋体" w:hAnsi="宋体" w:eastAsia="宋体" w:cs="宋体"/>
          <w:b/>
          <w:color w:val="auto"/>
          <w:sz w:val="44"/>
          <w:szCs w:val="44"/>
          <w:lang w:eastAsia="zh-CN" w:bidi="ar"/>
        </w:rPr>
        <w:t>）</w:t>
      </w:r>
    </w:p>
    <w:p>
      <w:pPr>
        <w:spacing w:line="800" w:lineRule="exact"/>
        <w:ind w:left="0" w:leftChars="0"/>
        <w:jc w:val="center"/>
        <w:rPr>
          <w:rFonts w:hint="eastAsia" w:ascii="宋体" w:hAnsi="宋体"/>
          <w:b/>
          <w:sz w:val="44"/>
          <w:szCs w:val="44"/>
        </w:rPr>
      </w:pPr>
      <w:r>
        <w:rPr>
          <w:rFonts w:hint="eastAsia" w:ascii="宋体" w:hAnsi="宋体"/>
          <w:b/>
          <w:sz w:val="44"/>
          <w:szCs w:val="44"/>
        </w:rPr>
        <w:t>技术规格书</w:t>
      </w:r>
    </w:p>
    <w:p>
      <w:pPr>
        <w:pStyle w:val="16"/>
        <w:rPr>
          <w:rFonts w:hint="eastAsia"/>
        </w:rPr>
      </w:pPr>
    </w:p>
    <w:p>
      <w:pPr>
        <w:ind w:left="480"/>
        <w:rPr>
          <w:rFonts w:hint="eastAsia" w:ascii="宋体" w:hAnsi="宋体"/>
        </w:rPr>
      </w:pPr>
    </w:p>
    <w:p>
      <w:pPr>
        <w:ind w:left="0" w:leftChars="0"/>
        <w:jc w:val="center"/>
        <w:rPr>
          <w:rFonts w:hint="eastAsia" w:ascii="宋体" w:hAnsi="宋体"/>
          <w:sz w:val="44"/>
          <w:szCs w:val="44"/>
        </w:rPr>
      </w:pPr>
      <w:r>
        <w:rPr>
          <w:rFonts w:hint="eastAsia" w:ascii="宋体" w:hAnsi="宋体"/>
          <w:sz w:val="44"/>
          <w:szCs w:val="44"/>
          <w:lang w:val="en-US" w:eastAsia="zh-CN"/>
        </w:rPr>
        <w:t>版次：</w:t>
      </w:r>
      <w:r>
        <w:rPr>
          <w:rFonts w:hint="eastAsia" w:ascii="宋体" w:hAnsi="宋体"/>
          <w:sz w:val="44"/>
          <w:szCs w:val="44"/>
        </w:rPr>
        <w:t>A版</w:t>
      </w:r>
    </w:p>
    <w:p>
      <w:pPr>
        <w:pStyle w:val="2"/>
        <w:rPr>
          <w:rFonts w:hint="eastAsia" w:ascii="宋体" w:hAnsi="宋体"/>
          <w:sz w:val="44"/>
          <w:szCs w:val="44"/>
        </w:rPr>
      </w:pPr>
    </w:p>
    <w:p>
      <w:pPr>
        <w:pStyle w:val="2"/>
        <w:rPr>
          <w:rFonts w:hint="eastAsia" w:ascii="宋体" w:hAnsi="宋体"/>
          <w:sz w:val="44"/>
          <w:szCs w:val="44"/>
        </w:rPr>
      </w:pPr>
    </w:p>
    <w:p>
      <w:pPr>
        <w:pStyle w:val="2"/>
        <w:rPr>
          <w:rFonts w:hint="eastAsia" w:ascii="宋体" w:hAnsi="宋体"/>
          <w:sz w:val="44"/>
          <w:szCs w:val="44"/>
        </w:rPr>
      </w:pPr>
    </w:p>
    <w:p>
      <w:pPr>
        <w:pStyle w:val="2"/>
        <w:rPr>
          <w:rFonts w:hint="eastAsia" w:ascii="宋体" w:hAnsi="宋体"/>
          <w:sz w:val="44"/>
          <w:szCs w:val="44"/>
        </w:rPr>
      </w:pPr>
    </w:p>
    <w:p>
      <w:pPr>
        <w:pStyle w:val="2"/>
        <w:rPr>
          <w:rFonts w:hint="eastAsia" w:ascii="宋体" w:hAnsi="宋体"/>
          <w:sz w:val="44"/>
          <w:szCs w:val="44"/>
        </w:rPr>
      </w:pPr>
    </w:p>
    <w:p>
      <w:pPr>
        <w:ind w:left="0" w:leftChars="0"/>
        <w:jc w:val="center"/>
        <w:rPr>
          <w:rFonts w:hint="eastAsia" w:ascii="宋体" w:hAnsi="宋体"/>
          <w:sz w:val="44"/>
          <w:szCs w:val="44"/>
        </w:rPr>
      </w:pPr>
    </w:p>
    <w:p>
      <w:pPr>
        <w:pStyle w:val="16"/>
        <w:rPr>
          <w:rFonts w:hint="eastAsia"/>
        </w:rPr>
      </w:pPr>
    </w:p>
    <w:p>
      <w:pPr>
        <w:ind w:left="480"/>
        <w:rPr>
          <w:rFonts w:hint="eastAsia" w:ascii="宋体" w:hAnsi="宋体"/>
        </w:rPr>
      </w:pPr>
    </w:p>
    <w:p>
      <w:pPr>
        <w:ind w:left="480"/>
        <w:rPr>
          <w:rFonts w:hint="eastAsia" w:ascii="宋体" w:hAnsi="宋体"/>
        </w:rPr>
      </w:pPr>
    </w:p>
    <w:p>
      <w:pPr>
        <w:ind w:left="480"/>
        <w:rPr>
          <w:rFonts w:hint="eastAsia" w:ascii="宋体" w:hAnsi="宋体"/>
        </w:rPr>
      </w:pPr>
    </w:p>
    <w:p>
      <w:pPr>
        <w:ind w:left="480"/>
        <w:rPr>
          <w:rFonts w:hint="eastAsia" w:ascii="宋体" w:hAnsi="宋体"/>
        </w:rPr>
      </w:pPr>
    </w:p>
    <w:p>
      <w:pPr>
        <w:ind w:left="480"/>
        <w:rPr>
          <w:rFonts w:hint="eastAsia" w:ascii="宋体" w:hAnsi="宋体"/>
        </w:rPr>
      </w:pPr>
    </w:p>
    <w:p>
      <w:pPr>
        <w:ind w:left="480"/>
        <w:rPr>
          <w:rFonts w:hint="eastAsia" w:ascii="宋体" w:hAnsi="宋体"/>
        </w:rPr>
      </w:pPr>
    </w:p>
    <w:p>
      <w:pPr>
        <w:ind w:left="480"/>
        <w:jc w:val="center"/>
        <w:rPr>
          <w:rFonts w:hint="eastAsia" w:ascii="宋体" w:hAnsi="宋体"/>
          <w:b/>
          <w:sz w:val="32"/>
          <w:szCs w:val="32"/>
        </w:rPr>
      </w:pPr>
      <w:r>
        <w:rPr>
          <w:rFonts w:hint="eastAsia" w:ascii="宋体" w:hAnsi="宋体"/>
          <w:b/>
          <w:sz w:val="32"/>
          <w:szCs w:val="32"/>
        </w:rPr>
        <w:t>成都华润燃气设计有限公司</w:t>
      </w:r>
    </w:p>
    <w:p>
      <w:pPr>
        <w:ind w:left="480"/>
        <w:jc w:val="center"/>
        <w:rPr>
          <w:rFonts w:hint="eastAsia" w:ascii="宋体" w:hAnsi="宋体"/>
          <w:b/>
          <w:sz w:val="32"/>
          <w:szCs w:val="32"/>
        </w:rPr>
      </w:pPr>
      <w:r>
        <w:rPr>
          <w:rFonts w:hint="eastAsia" w:ascii="宋体" w:hAnsi="宋体"/>
          <w:b/>
          <w:sz w:val="32"/>
          <w:szCs w:val="32"/>
        </w:rPr>
        <w:t>Chengdu China Resources Gas Design Co.,Ltd</w:t>
      </w:r>
    </w:p>
    <w:p>
      <w:pPr>
        <w:ind w:left="480"/>
        <w:jc w:val="center"/>
        <w:rPr>
          <w:rFonts w:hint="eastAsia" w:ascii="宋体" w:hAnsi="宋体"/>
          <w:b/>
          <w:sz w:val="32"/>
          <w:szCs w:val="32"/>
        </w:rPr>
      </w:pPr>
      <w:r>
        <w:rPr>
          <w:rFonts w:hint="eastAsia" w:ascii="宋体" w:hAnsi="宋体"/>
          <w:b/>
          <w:sz w:val="32"/>
          <w:szCs w:val="32"/>
        </w:rPr>
        <w:t>证书编号：A251010612</w:t>
      </w:r>
    </w:p>
    <w:p>
      <w:pPr>
        <w:ind w:left="480"/>
        <w:jc w:val="center"/>
        <w:rPr>
          <w:rFonts w:hint="eastAsia" w:ascii="宋体" w:hAnsi="宋体"/>
          <w:b/>
          <w:sz w:val="32"/>
          <w:szCs w:val="32"/>
        </w:rPr>
      </w:pPr>
      <w:r>
        <w:rPr>
          <w:rFonts w:hint="eastAsia" w:ascii="宋体" w:hAnsi="宋体"/>
          <w:b/>
          <w:sz w:val="32"/>
          <w:szCs w:val="32"/>
        </w:rPr>
        <w:t>二○</w:t>
      </w:r>
      <w:r>
        <w:rPr>
          <w:rFonts w:hint="eastAsia" w:ascii="宋体" w:hAnsi="宋体"/>
          <w:b/>
          <w:sz w:val="32"/>
          <w:szCs w:val="32"/>
          <w:lang w:val="en-US" w:eastAsia="zh-CN"/>
        </w:rPr>
        <w:t>二三</w:t>
      </w:r>
      <w:r>
        <w:rPr>
          <w:rFonts w:hint="eastAsia" w:ascii="宋体" w:hAnsi="宋体"/>
          <w:b/>
          <w:sz w:val="32"/>
          <w:szCs w:val="32"/>
        </w:rPr>
        <w:t>年</w:t>
      </w:r>
      <w:r>
        <w:rPr>
          <w:rFonts w:hint="eastAsia" w:ascii="宋体" w:hAnsi="宋体"/>
          <w:b/>
          <w:sz w:val="32"/>
          <w:szCs w:val="32"/>
          <w:lang w:val="en-US" w:eastAsia="zh-CN"/>
        </w:rPr>
        <w:t>九</w:t>
      </w:r>
      <w:r>
        <w:rPr>
          <w:rFonts w:hint="eastAsia" w:ascii="宋体" w:hAnsi="宋体"/>
          <w:b/>
          <w:sz w:val="32"/>
          <w:szCs w:val="32"/>
        </w:rPr>
        <w:t>月</w:t>
      </w:r>
    </w:p>
    <w:p>
      <w:pPr>
        <w:ind w:left="480"/>
        <w:jc w:val="center"/>
        <w:rPr>
          <w:rFonts w:hint="eastAsia" w:ascii="宋体" w:hAnsi="宋体"/>
          <w:b/>
          <w:sz w:val="32"/>
          <w:szCs w:val="32"/>
        </w:rPr>
      </w:pPr>
    </w:p>
    <w:p>
      <w:pPr>
        <w:pStyle w:val="16"/>
        <w:rPr>
          <w:rFonts w:hint="eastAsia"/>
        </w:rPr>
      </w:pP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394"/>
        <w:gridCol w:w="992"/>
        <w:gridCol w:w="1134"/>
        <w:gridCol w:w="1134"/>
        <w:gridCol w:w="1276"/>
        <w:gridCol w:w="514"/>
        <w:gridCol w:w="1045"/>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jc w:val="center"/>
        </w:trPr>
        <w:tc>
          <w:tcPr>
            <w:tcW w:w="2114" w:type="dxa"/>
            <w:gridSpan w:val="2"/>
            <w:vMerge w:val="restart"/>
            <w:noWrap w:val="0"/>
            <w:vAlign w:val="center"/>
          </w:tcPr>
          <w:p>
            <w:pPr>
              <w:pStyle w:val="43"/>
              <w:keepNext w:val="0"/>
              <w:keepLines w:val="0"/>
              <w:suppressLineNumbers w:val="0"/>
              <w:spacing w:before="0" w:beforeAutospacing="0" w:after="0" w:afterAutospacing="0" w:line="400" w:lineRule="exact"/>
              <w:ind w:left="0" w:leftChars="0" w:right="0"/>
              <w:jc w:val="left"/>
              <w:rPr>
                <w:rFonts w:hint="eastAsia" w:ascii="黑体" w:eastAsia="黑体"/>
              </w:rPr>
            </w:pPr>
            <w:r>
              <w:rPr>
                <w:rFonts w:hint="eastAsia" w:ascii="黑体" w:eastAsia="黑体"/>
              </w:rPr>
              <w:t>成都华润燃气</w:t>
            </w:r>
          </w:p>
          <w:p>
            <w:pPr>
              <w:pStyle w:val="43"/>
              <w:keepNext w:val="0"/>
              <w:keepLines w:val="0"/>
              <w:suppressLineNumbers w:val="0"/>
              <w:spacing w:before="0" w:beforeAutospacing="0" w:after="0" w:afterAutospacing="0" w:line="400" w:lineRule="exact"/>
              <w:ind w:left="0" w:leftChars="0" w:right="0"/>
              <w:jc w:val="left"/>
              <w:rPr>
                <w:rFonts w:hint="eastAsia" w:ascii="黑体" w:eastAsia="黑体"/>
              </w:rPr>
            </w:pPr>
            <w:r>
              <w:rPr>
                <w:rFonts w:hint="eastAsia" w:ascii="黑体" w:eastAsia="黑体"/>
              </w:rPr>
              <w:t>设计有限公司</w:t>
            </w:r>
          </w:p>
          <w:p>
            <w:pPr>
              <w:pStyle w:val="43"/>
              <w:keepNext w:val="0"/>
              <w:keepLines w:val="0"/>
              <w:suppressLineNumbers w:val="0"/>
              <w:spacing w:before="0" w:beforeAutospacing="0" w:after="0" w:afterAutospacing="0" w:line="400" w:lineRule="exact"/>
              <w:ind w:left="0" w:leftChars="0" w:right="0"/>
              <w:jc w:val="left"/>
              <w:rPr>
                <w:rFonts w:hint="eastAsia" w:ascii="黑体" w:eastAsia="黑体"/>
              </w:rPr>
            </w:pPr>
            <w:r>
              <w:rPr>
                <w:rFonts w:hint="eastAsia" w:ascii="黑体" w:eastAsia="黑体"/>
              </w:rPr>
              <w:t>设计证书编号：</w:t>
            </w:r>
          </w:p>
          <w:p>
            <w:pPr>
              <w:pStyle w:val="43"/>
              <w:keepNext w:val="0"/>
              <w:keepLines w:val="0"/>
              <w:suppressLineNumbers w:val="0"/>
              <w:spacing w:before="0" w:beforeAutospacing="0" w:after="0" w:afterAutospacing="0" w:line="400" w:lineRule="exact"/>
              <w:ind w:left="0" w:leftChars="0" w:right="0"/>
              <w:jc w:val="left"/>
              <w:rPr>
                <w:rFonts w:hint="eastAsia"/>
              </w:rPr>
            </w:pPr>
            <w:r>
              <w:rPr>
                <w:rFonts w:hint="eastAsia" w:ascii="黑体" w:eastAsia="黑体"/>
                <w:color w:val="auto"/>
              </w:rPr>
              <w:t>A251010612</w:t>
            </w:r>
          </w:p>
        </w:tc>
        <w:tc>
          <w:tcPr>
            <w:tcW w:w="5050" w:type="dxa"/>
            <w:gridSpan w:val="5"/>
            <w:noWrap w:val="0"/>
            <w:vAlign w:val="center"/>
          </w:tcPr>
          <w:p>
            <w:pPr>
              <w:keepNext w:val="0"/>
              <w:keepLines w:val="0"/>
              <w:widowControl/>
              <w:suppressLineNumbers w:val="0"/>
              <w:spacing w:before="0" w:beforeAutospacing="0" w:after="0" w:afterAutospacing="0"/>
              <w:ind w:left="0" w:right="0"/>
              <w:jc w:val="left"/>
              <w:rPr>
                <w:rFonts w:hint="eastAsia" w:ascii="宋体" w:hAnsi="宋体"/>
              </w:rPr>
            </w:pPr>
            <w:r>
              <w:rPr>
                <w:rFonts w:hint="eastAsia" w:ascii="宋体" w:hAnsi="宋体"/>
                <w:b/>
              </w:rPr>
              <w:t>业主:</w:t>
            </w:r>
            <w:r>
              <w:rPr>
                <w:rFonts w:hint="eastAsia" w:ascii="宋体" w:hAnsi="宋体"/>
              </w:rPr>
              <w:t xml:space="preserve"> </w:t>
            </w:r>
            <w:r>
              <w:rPr>
                <w:rFonts w:hint="eastAsia" w:ascii="宋体" w:hAnsi="宋体" w:eastAsia="宋体" w:cs="Times New Roman"/>
                <w:kern w:val="2"/>
                <w:sz w:val="21"/>
                <w:szCs w:val="20"/>
                <w:lang w:val="en-US" w:eastAsia="zh-CN" w:bidi="ar-SA"/>
              </w:rPr>
              <w:t>南通华润燃气有限公司</w:t>
            </w:r>
          </w:p>
        </w:tc>
        <w:tc>
          <w:tcPr>
            <w:tcW w:w="2432" w:type="dxa"/>
            <w:gridSpan w:val="2"/>
            <w:noWrap w:val="0"/>
            <w:vAlign w:val="center"/>
          </w:tcPr>
          <w:p>
            <w:pPr>
              <w:keepNext w:val="0"/>
              <w:keepLines w:val="0"/>
              <w:suppressLineNumbers w:val="0"/>
              <w:spacing w:before="120" w:beforeAutospacing="0" w:after="0" w:afterAutospacing="0" w:line="240" w:lineRule="auto"/>
              <w:ind w:left="0" w:leftChars="0" w:right="0"/>
              <w:rPr>
                <w:rFonts w:hint="default" w:ascii="宋体" w:hAnsi="宋体"/>
                <w:b/>
                <w:sz w:val="21"/>
              </w:rPr>
            </w:pPr>
            <w:r>
              <w:rPr>
                <w:rFonts w:hint="eastAsia" w:ascii="宋体" w:hAnsi="宋体"/>
                <w:b/>
                <w:sz w:val="21"/>
                <w:szCs w:val="21"/>
              </w:rPr>
              <w:t>项目编号：</w:t>
            </w:r>
            <w:r>
              <w:rPr>
                <w:rFonts w:hint="default"/>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114" w:type="dxa"/>
            <w:gridSpan w:val="2"/>
            <w:vMerge w:val="continue"/>
            <w:noWrap w:val="0"/>
            <w:vAlign w:val="top"/>
          </w:tcPr>
          <w:p>
            <w:pPr>
              <w:keepNext w:val="0"/>
              <w:keepLines w:val="0"/>
              <w:suppressLineNumbers w:val="0"/>
              <w:spacing w:before="0" w:beforeAutospacing="0" w:after="0" w:afterAutospacing="0"/>
              <w:ind w:left="480" w:right="0"/>
              <w:rPr>
                <w:rFonts w:hint="default" w:ascii="宋体" w:hAnsi="宋体"/>
              </w:rPr>
            </w:pPr>
          </w:p>
        </w:tc>
        <w:tc>
          <w:tcPr>
            <w:tcW w:w="5050" w:type="dxa"/>
            <w:gridSpan w:val="5"/>
            <w:noWrap w:val="0"/>
            <w:vAlign w:val="center"/>
          </w:tcPr>
          <w:p>
            <w:pPr>
              <w:keepNext w:val="0"/>
              <w:keepLines w:val="0"/>
              <w:widowControl/>
              <w:suppressLineNumbers w:val="0"/>
              <w:spacing w:before="0" w:beforeAutospacing="0" w:after="0" w:afterAutospacing="0"/>
              <w:ind w:left="0" w:right="0"/>
              <w:jc w:val="left"/>
              <w:rPr>
                <w:rFonts w:hint="default" w:ascii="宋体" w:hAnsi="宋体"/>
                <w:lang w:val="en-US"/>
              </w:rPr>
            </w:pPr>
            <w:r>
              <w:rPr>
                <w:rFonts w:hint="eastAsia" w:ascii="宋体" w:hAnsi="宋体"/>
                <w:b/>
              </w:rPr>
              <w:t>工程地点：</w:t>
            </w:r>
            <w:r>
              <w:rPr>
                <w:rFonts w:hint="eastAsia" w:ascii="宋体" w:hAnsi="宋体" w:eastAsia="宋体" w:cs="Times New Roman"/>
                <w:kern w:val="2"/>
                <w:sz w:val="21"/>
                <w:szCs w:val="20"/>
                <w:lang w:val="en-US" w:eastAsia="zh-CN" w:bidi="ar-SA"/>
              </w:rPr>
              <w:t>江苏省南通市</w:t>
            </w:r>
          </w:p>
        </w:tc>
        <w:tc>
          <w:tcPr>
            <w:tcW w:w="2432" w:type="dxa"/>
            <w:gridSpan w:val="2"/>
            <w:noWrap w:val="0"/>
            <w:vAlign w:val="center"/>
          </w:tcPr>
          <w:p>
            <w:pPr>
              <w:keepNext w:val="0"/>
              <w:keepLines w:val="0"/>
              <w:suppressLineNumbers w:val="0"/>
              <w:spacing w:before="0" w:beforeAutospacing="0" w:after="0" w:afterAutospacing="0" w:line="240" w:lineRule="auto"/>
              <w:ind w:left="0" w:leftChars="0" w:right="0"/>
              <w:rPr>
                <w:rFonts w:hint="eastAsia" w:ascii="宋体" w:hAnsi="宋体" w:cs="Arial"/>
                <w:b/>
                <w:spacing w:val="-20"/>
                <w:kern w:val="2"/>
                <w:sz w:val="21"/>
                <w:szCs w:val="20"/>
              </w:rPr>
            </w:pPr>
            <w:r>
              <w:rPr>
                <w:rFonts w:hint="eastAsia" w:ascii="宋体" w:hAnsi="宋体" w:cs="Arial"/>
                <w:b/>
                <w:spacing w:val="-20"/>
                <w:kern w:val="2"/>
                <w:sz w:val="21"/>
                <w:szCs w:val="20"/>
              </w:rPr>
              <w:t>技术规格书编号：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jc w:val="center"/>
        </w:trPr>
        <w:tc>
          <w:tcPr>
            <w:tcW w:w="2114" w:type="dxa"/>
            <w:gridSpan w:val="2"/>
            <w:vMerge w:val="continue"/>
            <w:noWrap w:val="0"/>
            <w:vAlign w:val="top"/>
          </w:tcPr>
          <w:p>
            <w:pPr>
              <w:keepNext w:val="0"/>
              <w:keepLines w:val="0"/>
              <w:suppressLineNumbers w:val="0"/>
              <w:spacing w:before="0" w:beforeAutospacing="0" w:after="0" w:afterAutospacing="0"/>
              <w:ind w:left="480" w:right="0"/>
              <w:rPr>
                <w:rFonts w:hint="default" w:ascii="宋体" w:hAnsi="宋体"/>
              </w:rPr>
            </w:pPr>
          </w:p>
        </w:tc>
        <w:tc>
          <w:tcPr>
            <w:tcW w:w="7482" w:type="dxa"/>
            <w:gridSpan w:val="7"/>
            <w:noWrap w:val="0"/>
            <w:vAlign w:val="center"/>
          </w:tcPr>
          <w:p>
            <w:pPr>
              <w:keepNext w:val="0"/>
              <w:keepLines w:val="0"/>
              <w:widowControl/>
              <w:suppressLineNumbers w:val="0"/>
              <w:spacing w:before="0" w:beforeAutospacing="0" w:after="0" w:afterAutospacing="0"/>
              <w:ind w:left="0" w:right="0"/>
              <w:jc w:val="left"/>
              <w:rPr>
                <w:rFonts w:hint="eastAsia" w:ascii="宋体" w:hAnsi="宋体"/>
                <w:sz w:val="20"/>
              </w:rPr>
            </w:pPr>
            <w:r>
              <w:rPr>
                <w:rFonts w:hint="eastAsia" w:ascii="宋体" w:hAnsi="宋体"/>
                <w:b/>
                <w:sz w:val="21"/>
                <w:szCs w:val="21"/>
              </w:rPr>
              <w:t>工程名称：</w:t>
            </w:r>
            <w:r>
              <w:rPr>
                <w:rFonts w:hint="eastAsia" w:ascii="宋体" w:hAnsi="宋体" w:eastAsia="宋体" w:cs="Times New Roman"/>
                <w:sz w:val="21"/>
                <w:szCs w:val="21"/>
                <w:lang w:val="en-US" w:eastAsia="zh-CN"/>
              </w:rPr>
              <w:t>江苏甬金金属分布式光伏发电项目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8" w:hRule="atLeast"/>
          <w:jc w:val="center"/>
        </w:trPr>
        <w:tc>
          <w:tcPr>
            <w:tcW w:w="9596" w:type="dxa"/>
            <w:gridSpan w:val="9"/>
            <w:tcBorders>
              <w:bottom w:val="single" w:color="auto" w:sz="4" w:space="0"/>
            </w:tcBorders>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default"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default"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default" w:ascii="宋体" w:hAnsi="宋体"/>
                <w:b/>
                <w:sz w:val="28"/>
              </w:rPr>
            </w:pPr>
          </w:p>
          <w:p>
            <w:pPr>
              <w:pStyle w:val="16"/>
              <w:keepNext w:val="0"/>
              <w:keepLines w:val="0"/>
              <w:suppressLineNumbers w:val="0"/>
              <w:spacing w:before="0" w:beforeAutospacing="0" w:after="0" w:afterAutospacing="0"/>
              <w:ind w:right="0"/>
              <w:rPr>
                <w:rFonts w:hint="default"/>
              </w:rPr>
            </w:pPr>
          </w:p>
          <w:p>
            <w:pPr>
              <w:pStyle w:val="2"/>
              <w:keepNext w:val="0"/>
              <w:keepLines w:val="0"/>
              <w:suppressLineNumbers w:val="0"/>
              <w:spacing w:before="0" w:beforeAutospacing="0" w:afterAutospacing="0" w:line="400" w:lineRule="exact"/>
              <w:ind w:left="480" w:right="0"/>
              <w:jc w:val="both"/>
              <w:rPr>
                <w:rFonts w:hint="eastAsia" w:ascii="宋体" w:hAnsi="宋体" w:eastAsia="宋体" w:cs="Times New Roman"/>
                <w:b/>
                <w:kern w:val="2"/>
                <w:sz w:val="32"/>
                <w:szCs w:val="32"/>
                <w:lang w:val="en-US" w:eastAsia="zh-CN" w:bidi="ar-SA"/>
              </w:rPr>
            </w:pPr>
          </w:p>
          <w:p>
            <w:pPr>
              <w:keepNext w:val="0"/>
              <w:keepLines w:val="0"/>
              <w:widowControl/>
              <w:suppressLineNumbers w:val="0"/>
              <w:spacing w:before="0" w:beforeAutospacing="0" w:after="0" w:afterAutospacing="0"/>
              <w:ind w:left="0" w:right="0"/>
              <w:jc w:val="center"/>
              <w:rPr>
                <w:rFonts w:hint="eastAsia" w:ascii="宋体" w:hAnsi="宋体" w:eastAsia="宋体" w:cs="Times New Roman"/>
                <w:b/>
                <w:kern w:val="2"/>
                <w:sz w:val="32"/>
                <w:szCs w:val="32"/>
                <w:lang w:val="en-US" w:eastAsia="zh-CN" w:bidi="ar-SA"/>
              </w:rPr>
            </w:pPr>
            <w:r>
              <w:rPr>
                <w:rFonts w:hint="eastAsia" w:ascii="宋体" w:hAnsi="宋体" w:eastAsia="宋体" w:cs="Times New Roman"/>
                <w:b/>
                <w:kern w:val="2"/>
                <w:sz w:val="32"/>
                <w:szCs w:val="32"/>
                <w:lang w:val="en-US" w:eastAsia="zh-CN" w:bidi="ar-SA"/>
              </w:rPr>
              <w:t>江苏甬金金属分布式光伏发电项目</w:t>
            </w:r>
          </w:p>
          <w:p>
            <w:pPr>
              <w:keepNext w:val="0"/>
              <w:keepLines w:val="0"/>
              <w:widowControl/>
              <w:suppressLineNumbers w:val="0"/>
              <w:spacing w:before="0" w:beforeAutospacing="0" w:after="0" w:afterAutospacing="0"/>
              <w:ind w:left="0" w:right="0"/>
              <w:jc w:val="center"/>
              <w:rPr>
                <w:rFonts w:hint="eastAsia" w:ascii="宋体" w:hAnsi="宋体" w:eastAsia="宋体" w:cs="Times New Roman"/>
                <w:b/>
                <w:kern w:val="2"/>
                <w:sz w:val="32"/>
                <w:szCs w:val="32"/>
                <w:lang w:val="en-US" w:eastAsia="zh-CN" w:bidi="ar-SA"/>
              </w:rPr>
            </w:pPr>
            <w:r>
              <w:rPr>
                <w:rFonts w:hint="eastAsia" w:ascii="宋体" w:hAnsi="宋体" w:eastAsia="宋体" w:cs="Times New Roman"/>
                <w:b/>
                <w:kern w:val="2"/>
                <w:sz w:val="32"/>
                <w:szCs w:val="32"/>
                <w:lang w:val="en-US" w:eastAsia="zh-CN" w:bidi="ar-SA"/>
              </w:rPr>
              <w:t>10kV箱式变压器（欧变）</w:t>
            </w:r>
          </w:p>
          <w:p>
            <w:pPr>
              <w:keepNext w:val="0"/>
              <w:keepLines w:val="0"/>
              <w:suppressLineNumbers w:val="0"/>
              <w:spacing w:before="0" w:beforeAutospacing="0" w:after="0" w:afterAutospacing="0"/>
              <w:ind w:left="198" w:leftChars="0" w:right="0"/>
              <w:jc w:val="center"/>
              <w:rPr>
                <w:rFonts w:hint="eastAsia" w:ascii="宋体" w:hAnsi="宋体"/>
                <w:b/>
                <w:sz w:val="32"/>
                <w:szCs w:val="32"/>
              </w:rPr>
            </w:pPr>
            <w:r>
              <w:rPr>
                <w:rFonts w:hint="eastAsia" w:ascii="宋体" w:hAnsi="宋体"/>
                <w:b/>
                <w:sz w:val="32"/>
                <w:szCs w:val="32"/>
              </w:rPr>
              <w:t>A版</w:t>
            </w:r>
          </w:p>
          <w:p>
            <w:pPr>
              <w:pStyle w:val="2"/>
              <w:keepNext w:val="0"/>
              <w:keepLines w:val="0"/>
              <w:suppressLineNumbers w:val="0"/>
              <w:spacing w:before="0" w:beforeAutospacing="0" w:afterAutospacing="0"/>
              <w:ind w:left="0" w:right="0"/>
              <w:rPr>
                <w:rFonts w:hint="eastAsia" w:ascii="宋体" w:hAnsi="宋体"/>
                <w:b/>
                <w:sz w:val="32"/>
                <w:szCs w:val="32"/>
              </w:rPr>
            </w:pPr>
          </w:p>
          <w:p>
            <w:pPr>
              <w:pStyle w:val="2"/>
              <w:keepNext w:val="0"/>
              <w:keepLines w:val="0"/>
              <w:suppressLineNumbers w:val="0"/>
              <w:spacing w:before="0" w:beforeAutospacing="0" w:afterAutospacing="0"/>
              <w:ind w:left="0" w:right="0"/>
              <w:rPr>
                <w:rFonts w:hint="eastAsia" w:ascii="宋体" w:hAnsi="宋体"/>
                <w:b/>
                <w:sz w:val="32"/>
                <w:szCs w:val="32"/>
              </w:rPr>
            </w:pPr>
          </w:p>
          <w:p>
            <w:pPr>
              <w:pStyle w:val="2"/>
              <w:keepNext w:val="0"/>
              <w:keepLines w:val="0"/>
              <w:suppressLineNumbers w:val="0"/>
              <w:spacing w:before="0" w:beforeAutospacing="0" w:afterAutospacing="0"/>
              <w:ind w:left="0" w:right="0"/>
              <w:rPr>
                <w:rFonts w:hint="eastAsia" w:ascii="宋体" w:hAnsi="宋体"/>
                <w:b/>
                <w:sz w:val="32"/>
                <w:szCs w:val="32"/>
              </w:rPr>
            </w:pPr>
          </w:p>
          <w:p>
            <w:pPr>
              <w:pStyle w:val="2"/>
              <w:keepNext w:val="0"/>
              <w:keepLines w:val="0"/>
              <w:suppressLineNumbers w:val="0"/>
              <w:spacing w:before="0" w:beforeAutospacing="0" w:afterAutospacing="0"/>
              <w:ind w:left="0" w:right="0"/>
              <w:rPr>
                <w:rFonts w:hint="eastAsia" w:ascii="宋体" w:hAnsi="宋体"/>
                <w:b/>
                <w:sz w:val="32"/>
                <w:szCs w:val="32"/>
              </w:rPr>
            </w:pPr>
          </w:p>
          <w:p>
            <w:pPr>
              <w:pStyle w:val="2"/>
              <w:keepNext w:val="0"/>
              <w:keepLines w:val="0"/>
              <w:suppressLineNumbers w:val="0"/>
              <w:spacing w:before="0" w:beforeAutospacing="0" w:afterAutospacing="0"/>
              <w:ind w:left="0" w:right="0"/>
              <w:rPr>
                <w:rFonts w:hint="eastAsia" w:ascii="宋体" w:hAnsi="宋体"/>
                <w:b/>
                <w:sz w:val="32"/>
                <w:szCs w:val="32"/>
              </w:rPr>
            </w:pPr>
          </w:p>
          <w:p>
            <w:pPr>
              <w:pStyle w:val="2"/>
              <w:keepNext w:val="0"/>
              <w:keepLines w:val="0"/>
              <w:suppressLineNumbers w:val="0"/>
              <w:spacing w:before="0" w:beforeAutospacing="0" w:afterAutospacing="0"/>
              <w:ind w:left="0" w:right="0"/>
              <w:rPr>
                <w:rFonts w:hint="eastAsia" w:ascii="宋体" w:hAnsi="宋体"/>
                <w:b/>
                <w:sz w:val="32"/>
                <w:szCs w:val="32"/>
              </w:rPr>
            </w:pPr>
          </w:p>
          <w:p>
            <w:pPr>
              <w:keepNext w:val="0"/>
              <w:keepLines w:val="0"/>
              <w:suppressLineNumbers w:val="0"/>
              <w:spacing w:before="0" w:beforeAutospacing="0" w:after="0" w:afterAutospacing="0"/>
              <w:ind w:left="198" w:leftChars="0" w:right="0"/>
              <w:jc w:val="center"/>
              <w:rPr>
                <w:rFonts w:hint="eastAsia" w:ascii="宋体" w:hAnsi="宋体"/>
                <w:b/>
                <w:sz w:val="32"/>
                <w:szCs w:val="32"/>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default" w:ascii="宋体" w:hAnsi="宋体"/>
                <w:sz w:val="20"/>
              </w:rPr>
            </w:pPr>
          </w:p>
          <w:p>
            <w:pPr>
              <w:keepNext w:val="0"/>
              <w:keepLines w:val="0"/>
              <w:widowControl/>
              <w:suppressLineNumbers w:val="0"/>
              <w:adjustRightInd/>
              <w:spacing w:before="0" w:beforeAutospacing="0" w:after="0" w:afterAutospacing="0" w:line="240" w:lineRule="auto"/>
              <w:ind w:left="0" w:leftChars="0" w:right="0"/>
              <w:textAlignment w:val="auto"/>
              <w:rPr>
                <w:rFonts w:hint="eastAsia" w:ascii="宋体" w:hAnsi="宋体"/>
                <w:sz w:val="20"/>
              </w:rPr>
            </w:pPr>
            <w:r>
              <w:rPr>
                <w:rFonts w:hint="eastAsia" w:ascii="宋体" w:hAnsi="宋体"/>
                <w:sz w:val="20"/>
              </w:rPr>
              <w:t>、</w:t>
            </w: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eastAsia" w:ascii="宋体" w:hAnsi="宋体"/>
                <w:sz w:val="20"/>
              </w:rPr>
            </w:pPr>
          </w:p>
        </w:tc>
        <w:tc>
          <w:tcPr>
            <w:tcW w:w="139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992"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276"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559" w:type="dxa"/>
            <w:gridSpan w:val="2"/>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387"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eastAsia" w:ascii="宋体" w:hAnsi="宋体"/>
                <w:sz w:val="20"/>
              </w:rPr>
            </w:pPr>
          </w:p>
        </w:tc>
        <w:tc>
          <w:tcPr>
            <w:tcW w:w="139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992"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276"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559" w:type="dxa"/>
            <w:gridSpan w:val="2"/>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387"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eastAsia" w:ascii="宋体" w:hAnsi="宋体"/>
                <w:sz w:val="20"/>
              </w:rPr>
            </w:pPr>
          </w:p>
        </w:tc>
        <w:tc>
          <w:tcPr>
            <w:tcW w:w="139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992"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276"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559" w:type="dxa"/>
            <w:gridSpan w:val="2"/>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c>
          <w:tcPr>
            <w:tcW w:w="1387" w:type="dxa"/>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default"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c>
          <w:tcPr>
            <w:tcW w:w="1394" w:type="dxa"/>
            <w:noWrap w:val="0"/>
            <w:vAlign w:val="top"/>
          </w:tcPr>
          <w:p>
            <w:pPr>
              <w:keepNext w:val="0"/>
              <w:keepLines w:val="0"/>
              <w:widowControl/>
              <w:suppressLineNumbers w:val="0"/>
              <w:adjustRightInd/>
              <w:spacing w:before="0" w:beforeAutospacing="0" w:after="0" w:afterAutospacing="0" w:line="240" w:lineRule="auto"/>
              <w:ind w:left="0" w:leftChars="0" w:right="0"/>
              <w:textAlignment w:val="auto"/>
              <w:rPr>
                <w:rFonts w:hint="eastAsia" w:ascii="宋体" w:hAnsi="宋体"/>
                <w:spacing w:val="-20"/>
                <w:sz w:val="20"/>
                <w:szCs w:val="20"/>
              </w:rPr>
            </w:pPr>
          </w:p>
        </w:tc>
        <w:tc>
          <w:tcPr>
            <w:tcW w:w="992" w:type="dxa"/>
            <w:noWrap w:val="0"/>
            <w:vAlign w:val="top"/>
          </w:tcPr>
          <w:p>
            <w:pPr>
              <w:keepNext w:val="0"/>
              <w:keepLines w:val="0"/>
              <w:widowControl/>
              <w:suppressLineNumbers w:val="0"/>
              <w:adjustRightInd/>
              <w:spacing w:before="0" w:beforeAutospacing="0" w:after="0" w:afterAutospacing="0" w:line="240" w:lineRule="auto"/>
              <w:ind w:left="0" w:leftChars="0" w:right="0"/>
              <w:textAlignment w:val="auto"/>
              <w:rPr>
                <w:rFonts w:hint="eastAsia"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0" w:leftChars="0" w:right="0"/>
              <w:textAlignment w:val="auto"/>
              <w:rPr>
                <w:rFonts w:hint="eastAsia"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c>
          <w:tcPr>
            <w:tcW w:w="1276"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c>
          <w:tcPr>
            <w:tcW w:w="1559" w:type="dxa"/>
            <w:gridSpan w:val="2"/>
            <w:noWrap w:val="0"/>
            <w:vAlign w:val="top"/>
          </w:tcPr>
          <w:p>
            <w:pPr>
              <w:keepNext w:val="0"/>
              <w:keepLines w:val="0"/>
              <w:widowControl/>
              <w:suppressLineNumbers w:val="0"/>
              <w:adjustRightInd/>
              <w:spacing w:before="0" w:beforeAutospacing="0" w:after="0" w:afterAutospacing="0" w:line="240" w:lineRule="auto"/>
              <w:ind w:left="480" w:right="0"/>
              <w:textAlignment w:val="auto"/>
              <w:rPr>
                <w:rFonts w:hint="eastAsia" w:ascii="宋体" w:hAnsi="宋体"/>
                <w:sz w:val="20"/>
              </w:rPr>
            </w:pPr>
          </w:p>
        </w:tc>
        <w:tc>
          <w:tcPr>
            <w:tcW w:w="1387"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r>
              <w:rPr>
                <w:rFonts w:hint="eastAsia" w:ascii="宋体" w:hAnsi="宋体"/>
                <w:sz w:val="20"/>
              </w:rPr>
              <w:t>A</w:t>
            </w:r>
          </w:p>
        </w:tc>
        <w:tc>
          <w:tcPr>
            <w:tcW w:w="1394" w:type="dxa"/>
            <w:noWrap w:val="0"/>
            <w:vAlign w:val="top"/>
          </w:tcPr>
          <w:p>
            <w:pPr>
              <w:keepNext w:val="0"/>
              <w:keepLines w:val="0"/>
              <w:widowControl/>
              <w:suppressLineNumbers w:val="0"/>
              <w:adjustRightInd/>
              <w:spacing w:before="0" w:beforeAutospacing="0" w:after="0" w:afterAutospacing="0" w:line="240" w:lineRule="auto"/>
              <w:ind w:left="174" w:leftChars="83" w:right="0"/>
              <w:jc w:val="left"/>
              <w:textAlignment w:val="auto"/>
              <w:rPr>
                <w:rFonts w:hint="default" w:ascii="宋体" w:hAnsi="宋体"/>
                <w:sz w:val="20"/>
              </w:rPr>
            </w:pPr>
            <w:r>
              <w:rPr>
                <w:rFonts w:hint="eastAsia" w:ascii="宋体" w:hAnsi="宋体"/>
                <w:sz w:val="20"/>
              </w:rPr>
              <w:t>询价/采购</w:t>
            </w:r>
          </w:p>
        </w:tc>
        <w:tc>
          <w:tcPr>
            <w:tcW w:w="992"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c>
          <w:tcPr>
            <w:tcW w:w="1134"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c>
          <w:tcPr>
            <w:tcW w:w="1276"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c>
          <w:tcPr>
            <w:tcW w:w="1559" w:type="dxa"/>
            <w:gridSpan w:val="2"/>
            <w:noWrap w:val="0"/>
            <w:vAlign w:val="top"/>
          </w:tcPr>
          <w:p>
            <w:pPr>
              <w:keepNext w:val="0"/>
              <w:keepLines w:val="0"/>
              <w:widowControl/>
              <w:suppressLineNumbers w:val="0"/>
              <w:adjustRightInd/>
              <w:spacing w:before="0" w:beforeAutospacing="0" w:after="0" w:afterAutospacing="0" w:line="240" w:lineRule="auto"/>
              <w:ind w:left="480" w:right="0"/>
              <w:jc w:val="center"/>
              <w:textAlignment w:val="auto"/>
              <w:rPr>
                <w:rFonts w:hint="eastAsia" w:ascii="宋体" w:hAnsi="宋体"/>
                <w:sz w:val="20"/>
              </w:rPr>
            </w:pPr>
          </w:p>
        </w:tc>
        <w:tc>
          <w:tcPr>
            <w:tcW w:w="1387"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r>
              <w:rPr>
                <w:rFonts w:hint="eastAsia" w:ascii="宋体" w:hAnsi="宋体"/>
                <w:sz w:val="20"/>
              </w:rPr>
              <w:t>版次</w:t>
            </w:r>
          </w:p>
        </w:tc>
        <w:tc>
          <w:tcPr>
            <w:tcW w:w="1394" w:type="dxa"/>
            <w:noWrap w:val="0"/>
            <w:vAlign w:val="top"/>
          </w:tcPr>
          <w:p>
            <w:pPr>
              <w:keepNext w:val="0"/>
              <w:keepLines w:val="0"/>
              <w:widowControl/>
              <w:suppressLineNumbers w:val="0"/>
              <w:adjustRightInd/>
              <w:spacing w:before="0" w:beforeAutospacing="0" w:after="0" w:afterAutospacing="0" w:line="240" w:lineRule="auto"/>
              <w:ind w:left="174" w:leftChars="83" w:right="0"/>
              <w:jc w:val="center"/>
              <w:textAlignment w:val="auto"/>
              <w:rPr>
                <w:rFonts w:hint="eastAsia" w:ascii="宋体" w:hAnsi="宋体"/>
                <w:sz w:val="20"/>
              </w:rPr>
            </w:pPr>
            <w:r>
              <w:rPr>
                <w:rFonts w:hint="eastAsia" w:ascii="宋体" w:hAnsi="宋体"/>
                <w:sz w:val="20"/>
              </w:rPr>
              <w:t>说明</w:t>
            </w:r>
          </w:p>
        </w:tc>
        <w:tc>
          <w:tcPr>
            <w:tcW w:w="992"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r>
              <w:rPr>
                <w:rFonts w:hint="eastAsia" w:ascii="宋体" w:hAnsi="宋体"/>
                <w:sz w:val="20"/>
              </w:rPr>
              <w:t>编制</w:t>
            </w:r>
          </w:p>
        </w:tc>
        <w:tc>
          <w:tcPr>
            <w:tcW w:w="1134"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r>
              <w:rPr>
                <w:rFonts w:hint="eastAsia" w:ascii="宋体" w:hAnsi="宋体"/>
                <w:sz w:val="20"/>
              </w:rPr>
              <w:t>校对</w:t>
            </w:r>
          </w:p>
        </w:tc>
        <w:tc>
          <w:tcPr>
            <w:tcW w:w="1134"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r>
              <w:rPr>
                <w:rFonts w:hint="eastAsia" w:ascii="宋体" w:hAnsi="宋体"/>
                <w:sz w:val="20"/>
              </w:rPr>
              <w:t>审核</w:t>
            </w:r>
          </w:p>
        </w:tc>
        <w:tc>
          <w:tcPr>
            <w:tcW w:w="1276"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r>
              <w:rPr>
                <w:rFonts w:hint="eastAsia" w:ascii="宋体" w:hAnsi="宋体"/>
                <w:sz w:val="20"/>
              </w:rPr>
              <w:t>审定</w:t>
            </w:r>
          </w:p>
        </w:tc>
        <w:tc>
          <w:tcPr>
            <w:tcW w:w="1559" w:type="dxa"/>
            <w:gridSpan w:val="2"/>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r>
              <w:rPr>
                <w:rFonts w:hint="eastAsia" w:ascii="宋体" w:hAnsi="宋体"/>
                <w:sz w:val="20"/>
              </w:rPr>
              <w:t>项目负责人</w:t>
            </w:r>
          </w:p>
        </w:tc>
        <w:tc>
          <w:tcPr>
            <w:tcW w:w="1387" w:type="dxa"/>
            <w:noWrap w:val="0"/>
            <w:vAlign w:val="top"/>
          </w:tcPr>
          <w:p>
            <w:pPr>
              <w:keepNext w:val="0"/>
              <w:keepLines w:val="0"/>
              <w:widowControl/>
              <w:suppressLineNumbers w:val="0"/>
              <w:adjustRightInd/>
              <w:spacing w:before="0" w:beforeAutospacing="0" w:after="0" w:afterAutospacing="0" w:line="240" w:lineRule="auto"/>
              <w:ind w:left="0" w:leftChars="0" w:right="0"/>
              <w:jc w:val="center"/>
              <w:textAlignment w:val="auto"/>
              <w:rPr>
                <w:rFonts w:hint="eastAsia" w:ascii="宋体" w:hAnsi="宋体"/>
                <w:sz w:val="20"/>
              </w:rPr>
            </w:pPr>
            <w:r>
              <w:rPr>
                <w:rFonts w:hint="eastAsia" w:ascii="宋体" w:hAnsi="宋体"/>
                <w:sz w:val="20"/>
              </w:rPr>
              <w:t>日期</w:t>
            </w:r>
          </w:p>
        </w:tc>
      </w:tr>
      <w:bookmarkEnd w:id="0"/>
      <w:bookmarkEnd w:id="1"/>
      <w:bookmarkEnd w:id="2"/>
      <w:bookmarkEnd w:id="3"/>
    </w:tbl>
    <w:p>
      <w:pPr>
        <w:rPr>
          <w:rFonts w:hint="eastAsia" w:ascii="宋体" w:hAnsi="宋体" w:eastAsia="宋体" w:cs="宋体"/>
          <w:color w:val="auto"/>
          <w:sz w:val="36"/>
          <w:shd w:val="pct10" w:color="auto" w:fill="FFFFFF"/>
        </w:rPr>
      </w:pPr>
    </w:p>
    <w:p>
      <w:pPr>
        <w:pStyle w:val="51"/>
        <w:tabs>
          <w:tab w:val="right" w:leader="dot" w:pos="8787"/>
        </w:tabs>
        <w:jc w:val="center"/>
        <w:rPr>
          <w:rFonts w:hint="eastAsia" w:ascii="宋体" w:hAnsi="宋体" w:eastAsia="宋体" w:cs="宋体"/>
          <w:b/>
          <w:sz w:val="32"/>
          <w:szCs w:val="32"/>
        </w:rPr>
      </w:pPr>
      <w:bookmarkStart w:id="4" w:name="_Toc520986900"/>
      <w:r>
        <w:rPr>
          <w:rFonts w:hint="eastAsia" w:ascii="宋体" w:hAnsi="宋体" w:eastAsia="宋体" w:cs="宋体"/>
          <w:b/>
          <w:sz w:val="32"/>
          <w:szCs w:val="32"/>
        </w:rPr>
        <w:t>目  录</w:t>
      </w:r>
    </w:p>
    <w:p>
      <w:pPr>
        <w:rPr>
          <w:rFonts w:hint="eastAsia"/>
        </w:rPr>
      </w:pPr>
    </w:p>
    <w:p>
      <w:pPr>
        <w:pStyle w:val="63"/>
        <w:keepNext w:val="0"/>
        <w:keepLines w:val="0"/>
        <w:pageBreakBefore w:val="0"/>
        <w:widowControl w:val="0"/>
        <w:tabs>
          <w:tab w:val="right" w:leader="dot" w:pos="8787"/>
        </w:tabs>
        <w:kinsoku/>
        <w:wordWrap/>
        <w:overflowPunct/>
        <w:autoSpaceDE/>
        <w:autoSpaceDN/>
        <w:bidi w:val="0"/>
        <w:snapToGrid/>
        <w:spacing w:line="360" w:lineRule="auto"/>
        <w:ind w:left="0" w:leftChars="0"/>
        <w:rPr>
          <w:rFonts w:hint="eastAsia" w:ascii="宋体" w:hAnsi="宋体" w:eastAsia="宋体" w:cs="宋体"/>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TOC \o "1-2" \h \u </w:instrText>
      </w:r>
      <w:r>
        <w:rPr>
          <w:rFonts w:hint="eastAsia" w:ascii="宋体" w:hAnsi="宋体" w:eastAsia="宋体" w:cs="宋体"/>
          <w:b/>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"_Toc12218" </w:instrText>
      </w:r>
      <w:r>
        <w:rPr>
          <w:rFonts w:hint="eastAsia" w:ascii="宋体" w:hAnsi="宋体" w:eastAsia="宋体" w:cs="宋体"/>
          <w:sz w:val="24"/>
          <w:szCs w:val="24"/>
        </w:rPr>
        <w:fldChar w:fldCharType="separate"/>
      </w:r>
      <w:r>
        <w:rPr>
          <w:rFonts w:hint="eastAsia" w:ascii="宋体" w:hAnsi="宋体" w:eastAsia="宋体" w:cs="宋体"/>
          <w:sz w:val="24"/>
          <w:szCs w:val="24"/>
        </w:rPr>
        <w:t>第一部分  通用技术规范</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_Toc12218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"_Toc3133" </w:instrText>
      </w:r>
      <w:r>
        <w:rPr>
          <w:rFonts w:hint="eastAsia" w:ascii="宋体" w:hAnsi="宋体" w:eastAsia="宋体" w:cs="宋体"/>
          <w:sz w:val="24"/>
          <w:szCs w:val="24"/>
        </w:rPr>
        <w:fldChar w:fldCharType="separate"/>
      </w:r>
      <w:r>
        <w:rPr>
          <w:rFonts w:hint="eastAsia" w:ascii="宋体" w:hAnsi="宋体" w:eastAsia="宋体" w:cs="宋体"/>
          <w:sz w:val="24"/>
          <w:szCs w:val="24"/>
        </w:rPr>
        <w:t>1 总则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_Toc3133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"_Toc12612" </w:instrText>
      </w:r>
      <w:r>
        <w:rPr>
          <w:rFonts w:hint="eastAsia" w:ascii="宋体" w:hAnsi="宋体" w:eastAsia="宋体" w:cs="宋体"/>
          <w:sz w:val="24"/>
          <w:szCs w:val="24"/>
        </w:rPr>
        <w:fldChar w:fldCharType="separate"/>
      </w:r>
      <w:r>
        <w:rPr>
          <w:rFonts w:hint="eastAsia" w:ascii="宋体" w:hAnsi="宋体" w:eastAsia="宋体" w:cs="宋体"/>
          <w:sz w:val="24"/>
          <w:szCs w:val="24"/>
        </w:rPr>
        <w:t>2 结构及其它要求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_Toc12612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"_Toc12061" </w:instrText>
      </w:r>
      <w:r>
        <w:rPr>
          <w:rFonts w:hint="eastAsia" w:ascii="宋体" w:hAnsi="宋体" w:eastAsia="宋体" w:cs="宋体"/>
          <w:sz w:val="24"/>
          <w:szCs w:val="24"/>
        </w:rPr>
        <w:fldChar w:fldCharType="separate"/>
      </w:r>
      <w:r>
        <w:rPr>
          <w:rFonts w:hint="eastAsia" w:ascii="宋体" w:hAnsi="宋体" w:eastAsia="宋体" w:cs="宋体"/>
          <w:sz w:val="24"/>
          <w:szCs w:val="24"/>
        </w:rPr>
        <w:t>3 试验</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_Toc12061 </w:instrText>
      </w:r>
      <w:r>
        <w:rPr>
          <w:rFonts w:hint="eastAsia" w:ascii="宋体" w:hAnsi="宋体" w:eastAsia="宋体" w:cs="宋体"/>
          <w:sz w:val="24"/>
          <w:szCs w:val="24"/>
        </w:rPr>
        <w:fldChar w:fldCharType="separate"/>
      </w:r>
      <w:r>
        <w:rPr>
          <w:rFonts w:hint="eastAsia" w:ascii="宋体" w:hAnsi="宋体" w:eastAsia="宋体" w:cs="宋体"/>
          <w:sz w:val="24"/>
          <w:szCs w:val="24"/>
        </w:rPr>
        <w:t>21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"_Toc1389" </w:instrText>
      </w:r>
      <w:r>
        <w:rPr>
          <w:rFonts w:hint="eastAsia" w:ascii="宋体" w:hAnsi="宋体" w:eastAsia="宋体" w:cs="宋体"/>
          <w:sz w:val="24"/>
          <w:szCs w:val="24"/>
        </w:rPr>
        <w:fldChar w:fldCharType="separate"/>
      </w:r>
      <w:r>
        <w:rPr>
          <w:rFonts w:hint="eastAsia" w:ascii="宋体" w:hAnsi="宋体" w:eastAsia="宋体" w:cs="宋体"/>
          <w:sz w:val="24"/>
          <w:szCs w:val="24"/>
        </w:rPr>
        <w:t>4 设备监造（检验）和性能验收试验</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_Toc1389 </w:instrText>
      </w:r>
      <w:r>
        <w:rPr>
          <w:rFonts w:hint="eastAsia" w:ascii="宋体" w:hAnsi="宋体" w:eastAsia="宋体" w:cs="宋体"/>
          <w:sz w:val="24"/>
          <w:szCs w:val="24"/>
        </w:rPr>
        <w:fldChar w:fldCharType="separate"/>
      </w:r>
      <w:r>
        <w:rPr>
          <w:rFonts w:hint="eastAsia" w:ascii="宋体" w:hAnsi="宋体" w:eastAsia="宋体" w:cs="宋体"/>
          <w:sz w:val="24"/>
          <w:szCs w:val="24"/>
        </w:rPr>
        <w:t>23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"_Toc3873" </w:instrText>
      </w:r>
      <w:r>
        <w:rPr>
          <w:rFonts w:hint="eastAsia" w:ascii="宋体" w:hAnsi="宋体" w:eastAsia="宋体" w:cs="宋体"/>
          <w:sz w:val="24"/>
          <w:szCs w:val="24"/>
        </w:rPr>
        <w:fldChar w:fldCharType="separate"/>
      </w:r>
      <w:r>
        <w:rPr>
          <w:rFonts w:hint="eastAsia" w:ascii="宋体" w:hAnsi="宋体" w:eastAsia="宋体" w:cs="宋体"/>
          <w:sz w:val="24"/>
          <w:szCs w:val="24"/>
        </w:rPr>
        <w:t>5 项目管理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_Toc3873 </w:instrText>
      </w:r>
      <w:r>
        <w:rPr>
          <w:rFonts w:hint="eastAsia" w:ascii="宋体" w:hAnsi="宋体" w:eastAsia="宋体" w:cs="宋体"/>
          <w:sz w:val="24"/>
          <w:szCs w:val="24"/>
        </w:rPr>
        <w:fldChar w:fldCharType="separate"/>
      </w:r>
      <w:r>
        <w:rPr>
          <w:rFonts w:hint="eastAsia" w:ascii="宋体" w:hAnsi="宋体" w:eastAsia="宋体" w:cs="宋体"/>
          <w:sz w:val="24"/>
          <w:szCs w:val="24"/>
        </w:rPr>
        <w:t>24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"_Toc10114" </w:instrText>
      </w:r>
      <w:r>
        <w:rPr>
          <w:rFonts w:hint="eastAsia" w:ascii="宋体" w:hAnsi="宋体" w:eastAsia="宋体" w:cs="宋体"/>
          <w:sz w:val="24"/>
          <w:szCs w:val="24"/>
        </w:rPr>
        <w:fldChar w:fldCharType="separate"/>
      </w:r>
      <w:r>
        <w:rPr>
          <w:rFonts w:hint="eastAsia" w:ascii="宋体" w:hAnsi="宋体" w:eastAsia="宋体" w:cs="宋体"/>
          <w:sz w:val="24"/>
          <w:szCs w:val="24"/>
        </w:rPr>
        <w:t>6 培训</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_Toc10114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"_Toc14014" </w:instrText>
      </w:r>
      <w:r>
        <w:rPr>
          <w:rFonts w:hint="eastAsia" w:ascii="宋体" w:hAnsi="宋体" w:eastAsia="宋体" w:cs="宋体"/>
          <w:sz w:val="24"/>
          <w:szCs w:val="24"/>
        </w:rPr>
        <w:fldChar w:fldCharType="separate"/>
      </w:r>
      <w:r>
        <w:rPr>
          <w:rFonts w:hint="eastAsia" w:ascii="宋体" w:hAnsi="宋体" w:eastAsia="宋体" w:cs="宋体"/>
          <w:sz w:val="24"/>
          <w:szCs w:val="24"/>
        </w:rPr>
        <w:t>7 质保</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_Toc14014 </w:instrText>
      </w:r>
      <w:r>
        <w:rPr>
          <w:rFonts w:hint="eastAsia" w:ascii="宋体" w:hAnsi="宋体" w:eastAsia="宋体" w:cs="宋体"/>
          <w:sz w:val="24"/>
          <w:szCs w:val="24"/>
        </w:rPr>
        <w:fldChar w:fldCharType="separate"/>
      </w:r>
      <w:r>
        <w:rPr>
          <w:rFonts w:hint="eastAsia" w:ascii="宋体" w:hAnsi="宋体" w:eastAsia="宋体" w:cs="宋体"/>
          <w:sz w:val="24"/>
          <w:szCs w:val="24"/>
        </w:rPr>
        <w:t>25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"_Toc23411" </w:instrText>
      </w:r>
      <w:r>
        <w:rPr>
          <w:rFonts w:hint="eastAsia" w:ascii="宋体" w:hAnsi="宋体" w:eastAsia="宋体" w:cs="宋体"/>
          <w:sz w:val="24"/>
          <w:szCs w:val="24"/>
        </w:rPr>
        <w:fldChar w:fldCharType="separate"/>
      </w:r>
      <w:r>
        <w:rPr>
          <w:rFonts w:hint="eastAsia" w:ascii="宋体" w:hAnsi="宋体" w:eastAsia="宋体" w:cs="宋体"/>
          <w:sz w:val="24"/>
          <w:szCs w:val="24"/>
        </w:rPr>
        <w:t>8 产品售后服务和赔偿</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_Toc23411 </w:instrText>
      </w:r>
      <w:r>
        <w:rPr>
          <w:rFonts w:hint="eastAsia" w:ascii="宋体" w:hAnsi="宋体" w:eastAsia="宋体" w:cs="宋体"/>
          <w:sz w:val="24"/>
          <w:szCs w:val="24"/>
        </w:rPr>
        <w:fldChar w:fldCharType="separate"/>
      </w:r>
      <w:r>
        <w:rPr>
          <w:rFonts w:hint="eastAsia" w:ascii="宋体" w:hAnsi="宋体" w:eastAsia="宋体" w:cs="宋体"/>
          <w:sz w:val="24"/>
          <w:szCs w:val="24"/>
        </w:rPr>
        <w:t>26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"_Toc32397" </w:instrText>
      </w:r>
      <w:r>
        <w:rPr>
          <w:rFonts w:hint="eastAsia" w:ascii="宋体" w:hAnsi="宋体" w:eastAsia="宋体" w:cs="宋体"/>
          <w:sz w:val="24"/>
          <w:szCs w:val="24"/>
        </w:rPr>
        <w:fldChar w:fldCharType="separate"/>
      </w:r>
      <w:r>
        <w:rPr>
          <w:rFonts w:hint="eastAsia" w:ascii="宋体" w:hAnsi="宋体" w:eastAsia="宋体" w:cs="宋体"/>
          <w:sz w:val="24"/>
          <w:szCs w:val="24"/>
        </w:rPr>
        <w:t>9 产品使用寿命及其寿命期内的技术服务</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_Toc32397 </w:instrText>
      </w:r>
      <w:r>
        <w:rPr>
          <w:rFonts w:hint="eastAsia" w:ascii="宋体" w:hAnsi="宋体" w:eastAsia="宋体" w:cs="宋体"/>
          <w:sz w:val="24"/>
          <w:szCs w:val="24"/>
        </w:rPr>
        <w:fldChar w:fldCharType="separate"/>
      </w:r>
      <w:r>
        <w:rPr>
          <w:rFonts w:hint="eastAsia" w:ascii="宋体" w:hAnsi="宋体" w:eastAsia="宋体" w:cs="宋体"/>
          <w:sz w:val="24"/>
          <w:szCs w:val="24"/>
        </w:rPr>
        <w:t>27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63"/>
        <w:keepNext w:val="0"/>
        <w:keepLines w:val="0"/>
        <w:pageBreakBefore w:val="0"/>
        <w:widowControl w:val="0"/>
        <w:tabs>
          <w:tab w:val="right" w:leader="dot" w:pos="8787"/>
        </w:tabs>
        <w:kinsoku/>
        <w:wordWrap/>
        <w:overflowPunct/>
        <w:autoSpaceDE/>
        <w:autoSpaceDN/>
        <w:bidi w:val="0"/>
        <w:snapToGrid/>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"_Toc2113" </w:instrText>
      </w:r>
      <w:r>
        <w:rPr>
          <w:rFonts w:hint="eastAsia" w:ascii="宋体" w:hAnsi="宋体" w:eastAsia="宋体" w:cs="宋体"/>
          <w:sz w:val="24"/>
          <w:szCs w:val="24"/>
        </w:rPr>
        <w:fldChar w:fldCharType="separate"/>
      </w:r>
      <w:r>
        <w:rPr>
          <w:rFonts w:hint="eastAsia" w:ascii="宋体" w:hAnsi="宋体" w:eastAsia="宋体" w:cs="宋体"/>
          <w:sz w:val="24"/>
          <w:szCs w:val="24"/>
        </w:rPr>
        <w:t>第二部分  专用技术规范</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_Toc2113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"_Toc24078" </w:instrText>
      </w:r>
      <w:r>
        <w:rPr>
          <w:rFonts w:hint="eastAsia" w:ascii="宋体" w:hAnsi="宋体" w:eastAsia="宋体" w:cs="宋体"/>
          <w:sz w:val="24"/>
          <w:szCs w:val="24"/>
        </w:rPr>
        <w:fldChar w:fldCharType="separate"/>
      </w:r>
      <w:r>
        <w:rPr>
          <w:rFonts w:hint="eastAsia" w:ascii="宋体" w:hAnsi="宋体" w:eastAsia="宋体" w:cs="宋体"/>
          <w:sz w:val="24"/>
          <w:szCs w:val="24"/>
        </w:rPr>
        <w:t>1 工程概况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_Toc24078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"_Toc24604" </w:instrText>
      </w:r>
      <w:r>
        <w:rPr>
          <w:rFonts w:hint="eastAsia" w:ascii="宋体" w:hAnsi="宋体" w:eastAsia="宋体" w:cs="宋体"/>
          <w:sz w:val="24"/>
          <w:szCs w:val="24"/>
        </w:rPr>
        <w:fldChar w:fldCharType="separate"/>
      </w:r>
      <w:r>
        <w:rPr>
          <w:rFonts w:hint="eastAsia" w:ascii="宋体" w:hAnsi="宋体" w:eastAsia="宋体" w:cs="宋体"/>
          <w:sz w:val="24"/>
          <w:szCs w:val="24"/>
        </w:rPr>
        <w:t>2 技术参数表</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_Toc24604 </w:instrText>
      </w:r>
      <w:r>
        <w:rPr>
          <w:rFonts w:hint="eastAsia" w:ascii="宋体" w:hAnsi="宋体" w:eastAsia="宋体" w:cs="宋体"/>
          <w:sz w:val="24"/>
          <w:szCs w:val="24"/>
        </w:rPr>
        <w:fldChar w:fldCharType="separate"/>
      </w:r>
      <w:r>
        <w:rPr>
          <w:rFonts w:hint="eastAsia" w:ascii="宋体" w:hAnsi="宋体" w:eastAsia="宋体" w:cs="宋体"/>
          <w:sz w:val="24"/>
          <w:szCs w:val="24"/>
        </w:rPr>
        <w:t>29</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"_Toc13069" </w:instrText>
      </w:r>
      <w:r>
        <w:rPr>
          <w:rFonts w:hint="eastAsia" w:ascii="宋体" w:hAnsi="宋体" w:eastAsia="宋体" w:cs="宋体"/>
          <w:sz w:val="24"/>
          <w:szCs w:val="24"/>
        </w:rPr>
        <w:fldChar w:fldCharType="separate"/>
      </w:r>
      <w:r>
        <w:rPr>
          <w:rFonts w:hint="eastAsia" w:ascii="宋体" w:hAnsi="宋体" w:eastAsia="宋体" w:cs="宋体"/>
          <w:sz w:val="24"/>
          <w:szCs w:val="24"/>
        </w:rPr>
        <w:t>3 项目需求部分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_Toc13069 </w:instrText>
      </w:r>
      <w:r>
        <w:rPr>
          <w:rFonts w:hint="eastAsia" w:ascii="宋体" w:hAnsi="宋体" w:eastAsia="宋体" w:cs="宋体"/>
          <w:sz w:val="24"/>
          <w:szCs w:val="24"/>
        </w:rPr>
        <w:fldChar w:fldCharType="separate"/>
      </w:r>
      <w:r>
        <w:rPr>
          <w:rFonts w:hint="eastAsia" w:ascii="宋体" w:hAnsi="宋体" w:eastAsia="宋体" w:cs="宋体"/>
          <w:sz w:val="24"/>
          <w:szCs w:val="24"/>
        </w:rPr>
        <w:t>38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"_Toc28931" </w:instrText>
      </w:r>
      <w:r>
        <w:rPr>
          <w:rFonts w:hint="eastAsia" w:ascii="宋体" w:hAnsi="宋体" w:eastAsia="宋体" w:cs="宋体"/>
          <w:sz w:val="24"/>
          <w:szCs w:val="24"/>
        </w:rPr>
        <w:fldChar w:fldCharType="separate"/>
      </w:r>
      <w:r>
        <w:rPr>
          <w:rFonts w:hint="eastAsia" w:ascii="宋体" w:hAnsi="宋体" w:eastAsia="宋体" w:cs="宋体"/>
          <w:sz w:val="24"/>
          <w:szCs w:val="24"/>
        </w:rPr>
        <w:t>4 产品相关资料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_Toc28931 </w:instrText>
      </w:r>
      <w:r>
        <w:rPr>
          <w:rFonts w:hint="eastAsia" w:ascii="宋体" w:hAnsi="宋体" w:eastAsia="宋体" w:cs="宋体"/>
          <w:sz w:val="24"/>
          <w:szCs w:val="24"/>
        </w:rPr>
        <w:fldChar w:fldCharType="separate"/>
      </w:r>
      <w:r>
        <w:rPr>
          <w:rFonts w:hint="eastAsia" w:ascii="宋体" w:hAnsi="宋体" w:eastAsia="宋体" w:cs="宋体"/>
          <w:sz w:val="24"/>
          <w:szCs w:val="24"/>
        </w:rPr>
        <w:t>41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51"/>
        <w:keepNext w:val="0"/>
        <w:keepLines w:val="0"/>
        <w:pageBreakBefore w:val="0"/>
        <w:widowControl w:val="0"/>
        <w:tabs>
          <w:tab w:val="right" w:leader="dot" w:pos="8787"/>
        </w:tabs>
        <w:kinsoku/>
        <w:wordWrap/>
        <w:overflowPunct/>
        <w:autoSpaceDE/>
        <w:autoSpaceDN/>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"_Toc25807" </w:instrText>
      </w:r>
      <w:r>
        <w:rPr>
          <w:rFonts w:hint="eastAsia" w:ascii="宋体" w:hAnsi="宋体" w:eastAsia="宋体" w:cs="宋体"/>
          <w:sz w:val="24"/>
          <w:szCs w:val="24"/>
        </w:rPr>
        <w:fldChar w:fldCharType="separate"/>
      </w:r>
      <w:r>
        <w:rPr>
          <w:rFonts w:hint="eastAsia" w:ascii="宋体" w:hAnsi="宋体" w:eastAsia="宋体" w:cs="宋体"/>
          <w:bCs/>
          <w:sz w:val="24"/>
          <w:szCs w:val="24"/>
        </w:rPr>
        <w:t>5 卖方提供的供货清单</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_Toc25807 </w:instrText>
      </w:r>
      <w:r>
        <w:rPr>
          <w:rFonts w:hint="eastAsia" w:ascii="宋体" w:hAnsi="宋体" w:eastAsia="宋体" w:cs="宋体"/>
          <w:sz w:val="24"/>
          <w:szCs w:val="24"/>
        </w:rPr>
        <w:fldChar w:fldCharType="separate"/>
      </w:r>
      <w:r>
        <w:rPr>
          <w:rFonts w:hint="eastAsia" w:ascii="宋体" w:hAnsi="宋体" w:eastAsia="宋体" w:cs="宋体"/>
          <w:sz w:val="24"/>
          <w:szCs w:val="24"/>
        </w:rPr>
        <w:t>41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39"/>
        <w:keepNext w:val="0"/>
        <w:keepLines w:val="0"/>
        <w:pageBreakBefore w:val="0"/>
        <w:widowControl w:val="0"/>
        <w:kinsoku/>
        <w:wordWrap/>
        <w:overflowPunct/>
        <w:autoSpaceDE/>
        <w:autoSpaceDN/>
        <w:bidi w:val="0"/>
        <w:snapToGrid/>
        <w:spacing w:line="360" w:lineRule="auto"/>
        <w:jc w:val="center"/>
        <w:rPr>
          <w:rFonts w:hint="eastAsia" w:ascii="宋体" w:hAnsi="宋体" w:eastAsia="宋体" w:cs="宋体"/>
          <w:b/>
          <w:sz w:val="36"/>
          <w:szCs w:val="52"/>
        </w:rPr>
        <w:sectPr>
          <w:headerReference r:id="rId3" w:type="default"/>
          <w:footerReference r:id="rId4" w:type="default"/>
          <w:pgSz w:w="11906" w:h="16838"/>
          <w:pgMar w:top="1440" w:right="1418" w:bottom="1440" w:left="1701" w:header="851" w:footer="992" w:gutter="0"/>
          <w:pgNumType w:start="1"/>
          <w:cols w:space="425" w:num="1"/>
          <w:docGrid w:linePitch="312" w:charSpace="0"/>
        </w:sectPr>
      </w:pPr>
      <w:r>
        <w:rPr>
          <w:rFonts w:hint="eastAsia" w:ascii="宋体" w:hAnsi="宋体" w:eastAsia="宋体" w:cs="宋体"/>
          <w:sz w:val="24"/>
          <w:szCs w:val="24"/>
        </w:rPr>
        <w:fldChar w:fldCharType="end"/>
      </w:r>
      <w:bookmarkStart w:id="5" w:name="_Toc12218"/>
    </w:p>
    <w:p>
      <w:pPr>
        <w:pStyle w:val="39"/>
        <w:keepNext w:val="0"/>
        <w:keepLines w:val="0"/>
        <w:pageBreakBefore w:val="0"/>
        <w:widowControl w:val="0"/>
        <w:kinsoku/>
        <w:wordWrap/>
        <w:overflowPunct/>
        <w:autoSpaceDE/>
        <w:autoSpaceDN/>
        <w:bidi w:val="0"/>
        <w:snapToGrid/>
        <w:spacing w:line="360" w:lineRule="auto"/>
        <w:jc w:val="center"/>
        <w:rPr>
          <w:rFonts w:hint="eastAsia" w:ascii="宋体" w:hAnsi="宋体" w:eastAsia="宋体" w:cs="宋体"/>
          <w:b w:val="0"/>
          <w:sz w:val="40"/>
          <w:szCs w:val="52"/>
        </w:rPr>
      </w:pPr>
      <w:r>
        <w:rPr>
          <w:rFonts w:hint="eastAsia" w:ascii="宋体" w:hAnsi="宋体" w:eastAsia="宋体" w:cs="宋体"/>
          <w:b w:val="0"/>
          <w:sz w:val="40"/>
          <w:szCs w:val="52"/>
        </w:rPr>
        <w:t>第一部分  通用技术规范</w:t>
      </w:r>
      <w:bookmarkEnd w:id="4"/>
      <w:bookmarkEnd w:id="5"/>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6" w:name="_Toc3133"/>
      <w:bookmarkStart w:id="7" w:name="_Toc520986901"/>
      <w:bookmarkStart w:id="8" w:name="_Toc374104347"/>
      <w:r>
        <w:rPr>
          <w:rFonts w:hint="eastAsia" w:ascii="宋体" w:hAnsi="宋体" w:eastAsia="宋体" w:cs="宋体"/>
          <w:highlight w:val="none"/>
        </w:rPr>
        <w:t>1 总则</w:t>
      </w:r>
      <w:bookmarkEnd w:id="6"/>
      <w:bookmarkEnd w:id="7"/>
      <w:bookmarkEnd w:id="8"/>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9" w:name="_Toc114221589"/>
      <w:bookmarkStart w:id="10" w:name="_Toc374104348"/>
      <w:bookmarkStart w:id="11" w:name="_Toc156123399"/>
      <w:bookmarkStart w:id="12" w:name="_Toc31118"/>
      <w:bookmarkStart w:id="13" w:name="_Toc520986902"/>
      <w:r>
        <w:rPr>
          <w:rFonts w:hint="eastAsia" w:ascii="宋体" w:hAnsi="宋体" w:eastAsia="宋体" w:cs="宋体"/>
          <w:b w:val="0"/>
          <w:bCs/>
          <w:sz w:val="28"/>
          <w:szCs w:val="28"/>
        </w:rPr>
        <w:t>1.1 一般规定</w:t>
      </w:r>
      <w:bookmarkEnd w:id="9"/>
      <w:bookmarkEnd w:id="10"/>
      <w:bookmarkEnd w:id="11"/>
      <w:bookmarkEnd w:id="12"/>
      <w:bookmarkEnd w:id="13"/>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1.1.1 本技术协议提出了对高压/低压预装式变电站技术上的规范和说明。</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1.1.2 货物应符合质量保证模式及ISO9000（GB/T19000）系列质量体系认证的要求，并满足本技术协议所规定的要求。</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1.1.3本技术协议提出了对货物的技术参数、性能、结构、试验等方面的技术要求。</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1.1.4本技术协议提出的是最低限度的技术要求，并未对一切技术细节作出规定，也未充分引述有关标准和规范的条文，货物应满足本技术协议引用标准的最新有效版本标准和本技术协议技术要求的全新产品，如果所引用的标准之间不一致或本技术协议所使用的标准与货物所执行的标准不一致时，按要求较高的标准执行。对国家有关安全、环保等强制性标准，必须满足其要求。</w:t>
      </w:r>
    </w:p>
    <w:p>
      <w:pPr>
        <w:pStyle w:val="158"/>
        <w:spacing w:line="360" w:lineRule="auto"/>
        <w:ind w:firstLine="0" w:firstLineChars="0"/>
        <w:rPr>
          <w:rFonts w:hint="eastAsia" w:ascii="宋体" w:hAnsi="宋体" w:eastAsia="宋体" w:cs="宋体"/>
          <w:sz w:val="24"/>
        </w:rPr>
      </w:pPr>
      <w:r>
        <w:rPr>
          <w:rFonts w:hint="eastAsia" w:ascii="宋体" w:hAnsi="宋体" w:eastAsia="宋体" w:cs="宋体"/>
          <w:sz w:val="24"/>
          <w:szCs w:val="24"/>
        </w:rPr>
        <w:t>1.1.5供货工作范围</w:t>
      </w:r>
      <w:r>
        <w:rPr>
          <w:rFonts w:hint="eastAsia" w:ascii="宋体" w:hAnsi="宋体" w:eastAsia="宋体" w:cs="宋体"/>
          <w:sz w:val="24"/>
        </w:rPr>
        <w:t>应包括参加变压器在现场的调试运行。试运行中如出现质量问题应负责及时处理。</w:t>
      </w:r>
    </w:p>
    <w:p>
      <w:pPr>
        <w:pStyle w:val="158"/>
        <w:spacing w:line="360" w:lineRule="auto"/>
        <w:ind w:firstLine="0" w:firstLineChars="0"/>
        <w:rPr>
          <w:rFonts w:hint="eastAsia" w:ascii="宋体" w:hAnsi="宋体" w:eastAsia="宋体" w:cs="宋体"/>
          <w:sz w:val="24"/>
        </w:rPr>
      </w:pPr>
      <w:r>
        <w:rPr>
          <w:rFonts w:hint="eastAsia" w:ascii="宋体" w:hAnsi="宋体" w:eastAsia="宋体" w:cs="宋体"/>
          <w:sz w:val="24"/>
        </w:rPr>
        <w:t>1.1.6 合同签订后，应指定负责本工程的项目经理，负责协调承包方在工程中的各项工作，如设计图纸、工程进度、设备制造、现场安装、调试验收等。</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1.1.7本技术协议中通用部分的规定如与技术规范专用部分有矛盾时，以专用部分为准。</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1.1.8如卖方没有以书面形式对本技术协议提出异议买方将认为卖方提供的设备完全符合技术规范和标准的要求。偏差(无论多少)都必须清楚地表示在投标文件中的“差异表”中。</w:t>
      </w:r>
    </w:p>
    <w:p>
      <w:pPr>
        <w:pStyle w:val="158"/>
        <w:spacing w:line="360" w:lineRule="auto"/>
        <w:ind w:firstLine="0" w:firstLineChars="0"/>
        <w:rPr>
          <w:rFonts w:hint="eastAsia" w:ascii="宋体" w:hAnsi="宋体" w:eastAsia="宋体" w:cs="宋体"/>
          <w:sz w:val="24"/>
        </w:rPr>
      </w:pPr>
      <w:r>
        <w:rPr>
          <w:rFonts w:hint="eastAsia" w:ascii="宋体" w:hAnsi="宋体" w:eastAsia="宋体" w:cs="宋体"/>
          <w:sz w:val="24"/>
          <w:szCs w:val="24"/>
        </w:rPr>
        <w:t>1.1.9</w:t>
      </w:r>
      <w:r>
        <w:rPr>
          <w:rFonts w:hint="eastAsia" w:ascii="宋体" w:hAnsi="宋体" w:eastAsia="宋体" w:cs="宋体"/>
          <w:sz w:val="24"/>
        </w:rPr>
        <w:t>本技术协议未尽事宜由买卖双方与设计单位共同协商解决。</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4" w:name="_Toc520986903"/>
      <w:bookmarkStart w:id="15" w:name="_Toc8470"/>
      <w:bookmarkStart w:id="16" w:name="_Toc13957"/>
      <w:bookmarkStart w:id="17" w:name="_Toc374104349"/>
      <w:bookmarkStart w:id="18" w:name="_Toc19770"/>
      <w:r>
        <w:rPr>
          <w:rFonts w:hint="eastAsia" w:ascii="宋体" w:hAnsi="宋体" w:eastAsia="宋体" w:cs="宋体"/>
          <w:b w:val="0"/>
          <w:bCs/>
          <w:sz w:val="28"/>
          <w:szCs w:val="28"/>
        </w:rPr>
        <w:t>1.2 随货物提供的文件</w:t>
      </w:r>
      <w:bookmarkEnd w:id="14"/>
      <w:bookmarkEnd w:id="15"/>
      <w:bookmarkEnd w:id="16"/>
      <w:bookmarkEnd w:id="17"/>
      <w:bookmarkEnd w:id="18"/>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1.2.1 同类高压/低压预装式变电站型式试验、例行试验、特殊试验（含短路承受能力试验）报告。</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1.2.2专业认证机构颁发的产品认证证书（如:PCCC产品认证证书等）。</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1.2.3货物维护保养、修理及其他服务义务的文件。</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9" w:name="_Toc520986904"/>
      <w:bookmarkStart w:id="20" w:name="_Toc374104350"/>
      <w:bookmarkStart w:id="21" w:name="_Toc21196"/>
      <w:r>
        <w:rPr>
          <w:rFonts w:hint="eastAsia" w:ascii="宋体" w:hAnsi="宋体" w:eastAsia="宋体" w:cs="宋体"/>
          <w:b w:val="0"/>
          <w:bCs/>
          <w:sz w:val="28"/>
          <w:szCs w:val="28"/>
        </w:rPr>
        <w:t>1.3货物所包含的内容和范围</w:t>
      </w:r>
      <w:bookmarkEnd w:id="19"/>
      <w:bookmarkEnd w:id="20"/>
      <w:bookmarkEnd w:id="21"/>
    </w:p>
    <w:p>
      <w:pPr>
        <w:pStyle w:val="6"/>
        <w:spacing w:before="0" w:after="0" w:line="360" w:lineRule="auto"/>
        <w:rPr>
          <w:rFonts w:hint="eastAsia" w:ascii="宋体" w:hAnsi="宋体" w:eastAsia="宋体" w:cs="宋体"/>
          <w:b w:val="0"/>
          <w:sz w:val="24"/>
          <w:szCs w:val="24"/>
        </w:rPr>
      </w:pPr>
      <w:bookmarkStart w:id="22" w:name="_Toc341864680"/>
      <w:bookmarkStart w:id="23" w:name="_Toc322963621"/>
      <w:bookmarkStart w:id="24" w:name="_Toc520986905"/>
      <w:bookmarkStart w:id="25" w:name="_Toc322963439"/>
      <w:bookmarkStart w:id="26" w:name="_Toc341947904"/>
      <w:bookmarkStart w:id="27" w:name="_Toc331505943"/>
      <w:r>
        <w:rPr>
          <w:rFonts w:hint="eastAsia" w:ascii="宋体" w:hAnsi="宋体" w:eastAsia="宋体" w:cs="宋体"/>
          <w:b w:val="0"/>
          <w:sz w:val="24"/>
          <w:szCs w:val="24"/>
        </w:rPr>
        <w:t>1.3.1 内容</w:t>
      </w:r>
      <w:bookmarkEnd w:id="22"/>
      <w:bookmarkEnd w:id="23"/>
      <w:bookmarkEnd w:id="24"/>
      <w:bookmarkEnd w:id="25"/>
      <w:bookmarkEnd w:id="26"/>
      <w:bookmarkEnd w:id="27"/>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内容包括：高压/低压预装式变电站及其附属设备的设计以及在供货范围内所有设备元器件的选型、制造、软件开发、提供相关图纸资料、试验(包括工厂试验、出厂试验)、包装、设备运输、现场开箱检查、指导现场安装、调试和试验、参加联调试运行、系统验收。并对安装和运行人员免费培训。</w:t>
      </w:r>
    </w:p>
    <w:p>
      <w:pPr>
        <w:pStyle w:val="6"/>
        <w:spacing w:before="0" w:after="0" w:line="360" w:lineRule="auto"/>
        <w:rPr>
          <w:rFonts w:hint="eastAsia" w:ascii="宋体" w:hAnsi="宋体" w:eastAsia="宋体" w:cs="宋体"/>
          <w:b w:val="0"/>
          <w:sz w:val="24"/>
          <w:szCs w:val="24"/>
        </w:rPr>
      </w:pPr>
      <w:bookmarkStart w:id="28" w:name="_Toc437105303"/>
      <w:bookmarkStart w:id="29" w:name="_Toc322963625"/>
      <w:bookmarkStart w:id="30" w:name="_Toc432343279"/>
      <w:bookmarkStart w:id="31" w:name="_Toc331505947"/>
      <w:bookmarkStart w:id="32" w:name="_Toc436881955"/>
      <w:bookmarkStart w:id="33" w:name="_Toc341947906"/>
      <w:bookmarkStart w:id="34" w:name="_Toc108425444"/>
      <w:bookmarkStart w:id="35" w:name="_Toc435524139"/>
      <w:bookmarkStart w:id="36" w:name="_Toc436881472"/>
      <w:bookmarkStart w:id="37" w:name="_Toc487466997"/>
      <w:bookmarkStart w:id="38" w:name="_Toc435017837"/>
      <w:bookmarkStart w:id="39" w:name="_Toc432385065"/>
      <w:bookmarkStart w:id="40" w:name="_Toc463167519"/>
      <w:bookmarkStart w:id="41" w:name="_Toc322963443"/>
      <w:bookmarkStart w:id="42" w:name="_Toc433870745"/>
      <w:bookmarkStart w:id="43" w:name="_Toc341864682"/>
      <w:bookmarkStart w:id="44" w:name="_Toc520986906"/>
      <w:r>
        <w:rPr>
          <w:rFonts w:hint="eastAsia" w:ascii="宋体" w:hAnsi="宋体" w:eastAsia="宋体" w:cs="宋体"/>
          <w:b w:val="0"/>
          <w:sz w:val="24"/>
          <w:szCs w:val="24"/>
        </w:rPr>
        <w:t xml:space="preserve">1.3.2 </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hint="eastAsia" w:ascii="宋体" w:hAnsi="宋体" w:eastAsia="宋体" w:cs="宋体"/>
          <w:b w:val="0"/>
          <w:sz w:val="24"/>
          <w:szCs w:val="24"/>
        </w:rPr>
        <w:t>货物应包括的范围</w:t>
      </w:r>
      <w:bookmarkEnd w:id="44"/>
    </w:p>
    <w:p>
      <w:pPr>
        <w:pStyle w:val="39"/>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包括高压/低压预装式变电站变压器本体（包括支架、附件、基础固定螺栓）；</w:t>
      </w:r>
      <w:r>
        <w:rPr>
          <w:rFonts w:hint="eastAsia" w:hAnsi="宋体" w:cs="宋体"/>
          <w:sz w:val="24"/>
          <w:szCs w:val="24"/>
          <w:lang w:eastAsia="zh-CN"/>
        </w:rPr>
        <w:t>10kV</w:t>
      </w:r>
      <w:r>
        <w:rPr>
          <w:rFonts w:hint="eastAsia" w:ascii="宋体" w:hAnsi="宋体" w:eastAsia="宋体" w:cs="宋体"/>
          <w:sz w:val="24"/>
          <w:szCs w:val="24"/>
        </w:rPr>
        <w:t>设备及</w:t>
      </w:r>
      <w:r>
        <w:rPr>
          <w:rFonts w:hint="eastAsia" w:ascii="宋体" w:hAnsi="宋体" w:eastAsia="宋体" w:cs="宋体"/>
          <w:sz w:val="24"/>
          <w:szCs w:val="24"/>
          <w:lang w:val="en-US" w:eastAsia="zh-CN"/>
        </w:rPr>
        <w:t>0.8</w:t>
      </w:r>
      <w:r>
        <w:rPr>
          <w:rFonts w:hint="eastAsia" w:ascii="宋体" w:hAnsi="宋体" w:eastAsia="宋体" w:cs="宋体"/>
          <w:sz w:val="24"/>
          <w:szCs w:val="24"/>
        </w:rPr>
        <w:t>kV成套配电装置；温度显示及控制器；安全运行所需的监测、控制、保护及维护设备；设备安全运输和吊装所需的有关材料、装置和设备；并在设备电缆进出口处装设电缆连接器件；包括卖方设备之间的阻燃、屏蔽电缆；备品备件及专用工具等；</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45" w:name="_Toc1541"/>
      <w:bookmarkStart w:id="46" w:name="_Toc520986907"/>
      <w:bookmarkStart w:id="47" w:name="_Toc374104351"/>
      <w:r>
        <w:rPr>
          <w:rFonts w:hint="eastAsia" w:ascii="宋体" w:hAnsi="宋体" w:eastAsia="宋体" w:cs="宋体"/>
          <w:b w:val="0"/>
          <w:bCs/>
          <w:sz w:val="28"/>
          <w:szCs w:val="28"/>
        </w:rPr>
        <w:t>1.4标准和规范</w:t>
      </w:r>
      <w:bookmarkEnd w:id="45"/>
      <w:bookmarkEnd w:id="46"/>
      <w:bookmarkEnd w:id="47"/>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在下述标准中，优先采用中华人民共和国国家标准及电力行业标准。在国内标准缺项时，参考选用相应的国际标准或其他国家标准。选用的标准是在合同签订之前已颁布的最新有效版本。</w:t>
      </w:r>
    </w:p>
    <w:p>
      <w:pPr>
        <w:pStyle w:val="158"/>
        <w:spacing w:line="360" w:lineRule="auto"/>
        <w:ind w:firstLine="424" w:firstLineChars="177"/>
        <w:rPr>
          <w:rFonts w:hint="eastAsia" w:ascii="宋体" w:hAnsi="宋体" w:eastAsia="宋体" w:cs="宋体"/>
          <w:kern w:val="21"/>
          <w:sz w:val="24"/>
          <w:szCs w:val="24"/>
        </w:rPr>
      </w:pPr>
      <w:r>
        <w:rPr>
          <w:rFonts w:hint="eastAsia" w:ascii="宋体" w:hAnsi="宋体" w:eastAsia="宋体" w:cs="宋体"/>
          <w:sz w:val="24"/>
          <w:szCs w:val="24"/>
        </w:rPr>
        <w:t>所有螺栓、双头螺栓、螺纹、管螺纹、螺栓头和螺帽均应遵照ISO及SI公制标准。</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主要引用标准如下：</w:t>
      </w:r>
    </w:p>
    <w:tbl>
      <w:tblPr>
        <w:tblStyle w:val="76"/>
        <w:tblW w:w="8363" w:type="dxa"/>
        <w:tblInd w:w="534" w:type="dxa"/>
        <w:tblLayout w:type="fixed"/>
        <w:tblCellMar>
          <w:top w:w="0" w:type="dxa"/>
          <w:left w:w="108" w:type="dxa"/>
          <w:bottom w:w="0" w:type="dxa"/>
          <w:right w:w="108" w:type="dxa"/>
        </w:tblCellMar>
      </w:tblPr>
      <w:tblGrid>
        <w:gridCol w:w="1842"/>
        <w:gridCol w:w="6521"/>
      </w:tblGrid>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GB1094.1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第1部分  总则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GB1094.2</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第2部分  温升</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GB1094.3</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第3部分  绝缘水平、绝缘试验和外绝缘空气间隙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GB1094.4</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第4部分  电力变压器和电抗器雷电冲击和操作冲击试验导则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GB1094.5</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第5部分  承受短路的能力</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GB1094.10</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第10部分  声级测定</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 1094.11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第11部分  干式变压器</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 1094.12</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第12部分  干式电力变压器负载</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 1094.16</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  第16部分  风力发电用变压器</w:t>
            </w:r>
          </w:p>
        </w:tc>
      </w:tr>
      <w:tr>
        <w:tblPrEx>
          <w:tblCellMar>
            <w:top w:w="0" w:type="dxa"/>
            <w:left w:w="108" w:type="dxa"/>
            <w:bottom w:w="0" w:type="dxa"/>
            <w:right w:w="108" w:type="dxa"/>
          </w:tblCellMar>
        </w:tblPrEx>
        <w:trPr>
          <w:trHeight w:val="90" w:hRule="atLeast"/>
        </w:trPr>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GB311.1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绝缘配合 第一部分 定义、原则和规则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GB1208</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电流互感器</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GB2900.15</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电工术语  变压器、互感器、调压器和电抗器</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GB 3804 </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3.6kV～40.5kV高压交流负荷开关</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 3906</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交流金属封闭开关设备和控制设备</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GB/T4109</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交流电压高于1000V的绝缘套管</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GB 4208 </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外壳防护等级（IP代码）</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GB/T4585</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交流系统用高压绝缘子的人工污秽试验</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GB5273</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变压器、高压电器和套管的接线端子</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GB/T7595</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运行中变压器油质量标准</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GB/T7252</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变压器油中溶解气体分析与判断导则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GB/T7354</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局部放电测量</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GB10230.1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分接开关 第1部分：性能要求和试验方法</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 10230.2</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分接开关 第2部分：应用导则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 10228</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干式电力变压器技术参数和要求</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GB/T 11022 </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高压开关设备和控制设备标准的共用技术要求</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GB13499</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电力变压器应用导则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GB/T 14048.1 </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低压开关设备和控制设备总则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 15166.6</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高压交流熔断器 第6部分</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GB16847</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保护用电流互感器暂态特性技术要求</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GB 16926 </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交流高压负荷开关-熔断器组合电器</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GB16927.1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高压试验技术第一部分：一般试验要求</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GB16927.2</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高压试验技术第二部分：测量系统</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GB/T 16935.1  </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低压系统内设备的绝缘配合  第1部分:原理、要求和试验</w:t>
            </w:r>
          </w:p>
        </w:tc>
      </w:tr>
      <w:tr>
        <w:tblPrEx>
          <w:tblCellMar>
            <w:top w:w="0" w:type="dxa"/>
            <w:left w:w="108" w:type="dxa"/>
            <w:bottom w:w="0" w:type="dxa"/>
            <w:right w:w="108" w:type="dxa"/>
          </w:tblCellMar>
        </w:tblPrEx>
        <w:trPr>
          <w:trHeight w:val="74" w:hRule="atLeast"/>
        </w:trPr>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GB/T17467</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高压/低压预装式变电站</w:t>
            </w:r>
          </w:p>
        </w:tc>
      </w:tr>
      <w:tr>
        <w:tblPrEx>
          <w:tblCellMar>
            <w:top w:w="0" w:type="dxa"/>
            <w:left w:w="108" w:type="dxa"/>
            <w:bottom w:w="0" w:type="dxa"/>
            <w:right w:w="108" w:type="dxa"/>
          </w:tblCellMar>
        </w:tblPrEx>
        <w:trPr>
          <w:trHeight w:val="74" w:hRule="atLeast"/>
        </w:trPr>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NB/T10686 </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光伏预装式变电站技术规范</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GB/T17468</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电力变压器选用导则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GB/T26218.1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污秽条件下使用的高压绝缘子的选择和尺寸确定第1部分：定义、信息和一般原则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GB/T26218.2</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污秽条件下使用的高压绝缘子的选择和尺寸确定第2部分：交流系统用瓷和玻璃绝缘子</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GB50150</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电气装置安装工程电气设备交接试验标准</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 50148</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电气装置安装工程电力变压器、油浸电抗器、互感器施工及验收规范</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GB 50229</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火力发电厂与变电站设计防火规范的要求</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DL/T596</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电力设备预防性试验规程</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DL/T 593 </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高压开关设备的共用技术要求</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DL/T 620</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交流电气装置的过电压保护和绝缘配合</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DL/T572</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电力变压器运行规程</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DL 911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电力变压器绕组变形的频率响应分析法</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DL 1093</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电力变压器绕组变形的电抗法检测判断导则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DL 1094</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电力变压器用绝缘油选用指南</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DL 5027</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电力设备典型消防规程</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JB/T 501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电力变压器试验导则</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JB/T3837</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变压器类产品型号编制方法</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JB/T8637</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无励磁分接开关</w:t>
            </w:r>
          </w:p>
        </w:tc>
      </w:tr>
      <w:tr>
        <w:tblPrEx>
          <w:tblCellMar>
            <w:top w:w="0" w:type="dxa"/>
            <w:left w:w="108" w:type="dxa"/>
            <w:bottom w:w="0" w:type="dxa"/>
            <w:right w:w="108" w:type="dxa"/>
          </w:tblCellMar>
        </w:tblPrEx>
        <w:tc>
          <w:tcPr>
            <w:tcW w:w="1842"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JB/T 10681</w:t>
            </w:r>
          </w:p>
        </w:tc>
        <w:tc>
          <w:tcPr>
            <w:tcW w:w="6521" w:type="dxa"/>
          </w:tcPr>
          <w:p>
            <w:pPr>
              <w:pStyle w:val="158"/>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组合式变压器用油浸式负荷开关</w:t>
            </w:r>
          </w:p>
        </w:tc>
      </w:tr>
    </w:tbl>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48" w:name="_Toc374104352"/>
      <w:bookmarkStart w:id="49" w:name="_Toc341947908"/>
      <w:bookmarkStart w:id="50" w:name="_Toc520986908"/>
      <w:bookmarkStart w:id="51" w:name="_Toc3964"/>
      <w:r>
        <w:rPr>
          <w:rFonts w:hint="eastAsia" w:ascii="宋体" w:hAnsi="宋体" w:eastAsia="宋体" w:cs="宋体"/>
          <w:b w:val="0"/>
          <w:bCs/>
          <w:sz w:val="28"/>
          <w:szCs w:val="28"/>
        </w:rPr>
        <w:t>1.5 接口与协调</w:t>
      </w:r>
      <w:bookmarkEnd w:id="48"/>
      <w:bookmarkEnd w:id="49"/>
      <w:bookmarkEnd w:id="50"/>
      <w:bookmarkEnd w:id="51"/>
    </w:p>
    <w:p>
      <w:pPr>
        <w:pStyle w:val="158"/>
        <w:spacing w:line="360" w:lineRule="auto"/>
        <w:ind w:firstLine="424" w:firstLineChars="177"/>
        <w:rPr>
          <w:rFonts w:hint="eastAsia" w:ascii="宋体" w:hAnsi="宋体" w:eastAsia="宋体" w:cs="宋体"/>
          <w:sz w:val="24"/>
          <w:szCs w:val="24"/>
        </w:rPr>
      </w:pPr>
      <w:bookmarkStart w:id="52" w:name="_Toc322963447"/>
      <w:bookmarkStart w:id="53" w:name="_Toc463167525"/>
      <w:bookmarkStart w:id="54" w:name="_Toc331505951"/>
      <w:bookmarkStart w:id="55" w:name="_Toc436881961"/>
      <w:bookmarkStart w:id="56" w:name="_Toc435524145"/>
      <w:bookmarkStart w:id="57" w:name="_Toc322963629"/>
      <w:bookmarkStart w:id="58" w:name="_Toc436881478"/>
      <w:bookmarkStart w:id="59" w:name="_Toc435017843"/>
      <w:bookmarkStart w:id="60" w:name="_Toc437105309"/>
      <w:bookmarkStart w:id="61" w:name="_Toc433870752"/>
      <w:r>
        <w:rPr>
          <w:rFonts w:hint="eastAsia" w:ascii="宋体" w:hAnsi="宋体" w:eastAsia="宋体" w:cs="宋体"/>
          <w:sz w:val="24"/>
          <w:szCs w:val="24"/>
        </w:rPr>
        <w:t>货物应包含与其他承包商进行交换的所有图纸、规范和资料的副本。</w:t>
      </w:r>
    </w:p>
    <w:bookmarkEnd w:id="52"/>
    <w:bookmarkEnd w:id="53"/>
    <w:bookmarkEnd w:id="54"/>
    <w:bookmarkEnd w:id="55"/>
    <w:bookmarkEnd w:id="56"/>
    <w:bookmarkEnd w:id="57"/>
    <w:bookmarkEnd w:id="58"/>
    <w:bookmarkEnd w:id="59"/>
    <w:bookmarkEnd w:id="60"/>
    <w:bookmarkEnd w:id="61"/>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高压/低压预装式变压站与</w:t>
      </w:r>
      <w:r>
        <w:rPr>
          <w:rFonts w:hint="eastAsia" w:cs="宋体"/>
          <w:sz w:val="24"/>
          <w:szCs w:val="24"/>
          <w:lang w:eastAsia="zh-CN"/>
        </w:rPr>
        <w:t>10kV</w:t>
      </w:r>
      <w:r>
        <w:rPr>
          <w:rFonts w:hint="eastAsia" w:ascii="宋体" w:hAnsi="宋体" w:eastAsia="宋体" w:cs="宋体"/>
          <w:sz w:val="24"/>
          <w:szCs w:val="24"/>
        </w:rPr>
        <w:t>电缆的接口位置在高压/低压预装式变电站的接线端子上。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高压侧采用电缆，采用箱变底部电缆出线方式，在箱变底座上设有电缆孔，进出箱体的电缆有防护和固定措施。</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62" w:name="_Toc374104353"/>
      <w:bookmarkStart w:id="63" w:name="_Toc31967"/>
      <w:bookmarkStart w:id="64" w:name="_Toc520986909"/>
      <w:r>
        <w:rPr>
          <w:rFonts w:hint="eastAsia" w:ascii="宋体" w:hAnsi="宋体" w:eastAsia="宋体" w:cs="宋体"/>
          <w:b w:val="0"/>
          <w:bCs/>
          <w:sz w:val="28"/>
          <w:szCs w:val="28"/>
        </w:rPr>
        <w:t>1.6专用工具和仪器仪表</w:t>
      </w:r>
      <w:bookmarkEnd w:id="62"/>
      <w:bookmarkEnd w:id="63"/>
      <w:bookmarkEnd w:id="64"/>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1.6.1 随货物应提供安装时必需的专用工具和仪器仪表。</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1.6.2运行维修必需的专用工具和仪器仪表，列在技术规范专用部分附表3-3中。</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1.6.3推荐的专用工具和仪器仪表，列在技术规范专用部分附表3-4中。</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1.6.4所有专用工具和仪器仪表应是全新的、先进的，且须附完整、详细的使用说明资料。</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1.6.5专用工具和仪器仪表应装于专用的包装箱内，注明“专用工具”、“仪器”、“仪表”，并标明“防潮”、“防尘”、“易碎”、“向上”、“勿倒置”等字样，同主设备一并发运。</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65" w:name="_Toc520986910"/>
      <w:bookmarkStart w:id="66" w:name="_Toc374104354"/>
      <w:bookmarkStart w:id="67" w:name="_Toc32210"/>
      <w:r>
        <w:rPr>
          <w:rFonts w:hint="eastAsia" w:ascii="宋体" w:hAnsi="宋体" w:eastAsia="宋体" w:cs="宋体"/>
          <w:b w:val="0"/>
          <w:bCs/>
          <w:sz w:val="28"/>
          <w:szCs w:val="28"/>
        </w:rPr>
        <w:t>1.7安装、调试、试运行和验收</w:t>
      </w:r>
      <w:bookmarkEnd w:id="65"/>
      <w:bookmarkEnd w:id="66"/>
      <w:bookmarkEnd w:id="67"/>
    </w:p>
    <w:p>
      <w:pPr>
        <w:pStyle w:val="158"/>
        <w:spacing w:line="360" w:lineRule="auto"/>
        <w:ind w:firstLine="0" w:firstLineChars="0"/>
        <w:rPr>
          <w:rFonts w:hint="eastAsia" w:ascii="宋体" w:hAnsi="宋体" w:eastAsia="宋体" w:cs="宋体"/>
          <w:sz w:val="24"/>
          <w:szCs w:val="24"/>
        </w:rPr>
      </w:pPr>
      <w:bookmarkStart w:id="68" w:name="_Toc341947910"/>
      <w:r>
        <w:rPr>
          <w:rFonts w:hint="eastAsia" w:ascii="宋体" w:hAnsi="宋体" w:eastAsia="宋体" w:cs="宋体"/>
          <w:sz w:val="24"/>
          <w:szCs w:val="24"/>
        </w:rPr>
        <w:t>1.7.1设备的安装、调试根据设备技术文件和说明书的规定在设备供应商技术人员指导下进行。</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1.7.2完成设备安装后，应检查和确认安装工作，并签署安装工作完成证明书。</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1.7.3设备试运行和验收，根据本技术协议规定的标准、规程、规范进行。所有的设备都应达到各项运行性能指标要求，方可签署设备的验收证明书。</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1.7.4 如果安装、调试、性能试验、试运行及质保期内技术指标一项或多项不能满足合同技术部分要求，应分析原因，分清责任。</w:t>
      </w:r>
    </w:p>
    <w:bookmarkEnd w:id="68"/>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69" w:name="_Toc507"/>
      <w:bookmarkStart w:id="70" w:name="_Toc374104355"/>
      <w:bookmarkStart w:id="71" w:name="_Toc11351"/>
      <w:bookmarkStart w:id="72" w:name="_Toc520986911"/>
      <w:bookmarkStart w:id="73" w:name="_Toc89063792"/>
      <w:bookmarkStart w:id="74" w:name="_Toc341947911"/>
      <w:bookmarkStart w:id="75" w:name="_Toc108425448"/>
      <w:bookmarkStart w:id="76" w:name="_Toc432990380"/>
      <w:bookmarkStart w:id="77" w:name="_Toc435516363"/>
      <w:bookmarkStart w:id="78" w:name="_Toc107109826"/>
      <w:bookmarkStart w:id="79" w:name="_Toc442151600"/>
      <w:bookmarkStart w:id="80" w:name="_Toc460575031"/>
      <w:bookmarkStart w:id="81" w:name="_Toc322963452"/>
      <w:bookmarkStart w:id="82" w:name="_Toc435516790"/>
      <w:bookmarkStart w:id="83" w:name="_Toc434033946"/>
      <w:bookmarkStart w:id="84" w:name="_Toc331505956"/>
      <w:bookmarkStart w:id="85" w:name="_Toc460576732"/>
      <w:bookmarkStart w:id="86" w:name="_Toc462802370"/>
      <w:bookmarkStart w:id="87" w:name="_Toc322963634"/>
      <w:bookmarkStart w:id="88" w:name="_Toc439057735"/>
      <w:bookmarkStart w:id="89" w:name="_Toc442328885"/>
      <w:bookmarkStart w:id="90" w:name="_Toc107109460"/>
      <w:r>
        <w:rPr>
          <w:rFonts w:hint="eastAsia" w:ascii="宋体" w:hAnsi="宋体" w:eastAsia="宋体" w:cs="宋体"/>
          <w:b w:val="0"/>
          <w:bCs/>
          <w:sz w:val="28"/>
          <w:szCs w:val="28"/>
        </w:rPr>
        <w:t>1.8 对设计图纸、说明书和试验报告的要求</w:t>
      </w:r>
      <w:bookmarkEnd w:id="69"/>
      <w:bookmarkEnd w:id="70"/>
      <w:bookmarkEnd w:id="71"/>
      <w:bookmarkEnd w:id="72"/>
    </w:p>
    <w:p>
      <w:pPr>
        <w:pStyle w:val="6"/>
        <w:spacing w:before="0" w:after="0" w:line="360" w:lineRule="auto"/>
        <w:rPr>
          <w:rFonts w:hint="eastAsia" w:ascii="宋体" w:hAnsi="宋体" w:eastAsia="宋体" w:cs="宋体"/>
          <w:b w:val="0"/>
          <w:sz w:val="24"/>
          <w:szCs w:val="24"/>
        </w:rPr>
      </w:pPr>
      <w:bookmarkStart w:id="91" w:name="_Toc520986912"/>
      <w:r>
        <w:rPr>
          <w:rFonts w:hint="eastAsia" w:ascii="宋体" w:hAnsi="宋体" w:eastAsia="宋体" w:cs="宋体"/>
          <w:b w:val="0"/>
          <w:sz w:val="24"/>
          <w:szCs w:val="24"/>
        </w:rPr>
        <w:t>1.8.1 图纸要求</w:t>
      </w:r>
      <w:bookmarkEnd w:id="91"/>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（1）所有图纸和说明文件，包括变压器的外形图、剖面图、布置图、组装图、基础图、电气原理图、运输尺寸、运输质量、重心、总质量及二次线布置图等。</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（2）图纸的格式：所有图纸均应有标题栏、相应编号、全部符号和部件标志，文字均用中文，并使用SI国际单位制。对于进口设备以中文为主，对英文有疑问时，设备供应商应进行书面解释。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（3）设备供应商提供全部最终版的图纸、资料及说明书，并且应保证可按最终版的图纸资料对所供设备进行维护，并在运行中进行更换零部件等工作。</w:t>
      </w:r>
    </w:p>
    <w:p>
      <w:pPr>
        <w:pStyle w:val="6"/>
        <w:spacing w:before="0" w:after="0" w:line="360" w:lineRule="auto"/>
        <w:rPr>
          <w:rFonts w:hint="eastAsia" w:ascii="宋体" w:hAnsi="宋体" w:eastAsia="宋体" w:cs="宋体"/>
          <w:b w:val="0"/>
          <w:sz w:val="24"/>
          <w:szCs w:val="24"/>
        </w:rPr>
      </w:pPr>
      <w:bookmarkStart w:id="92" w:name="_Toc520986913"/>
      <w:r>
        <w:rPr>
          <w:rFonts w:hint="eastAsia" w:ascii="宋体" w:hAnsi="宋体" w:eastAsia="宋体" w:cs="宋体"/>
          <w:b w:val="0"/>
          <w:sz w:val="24"/>
          <w:szCs w:val="24"/>
        </w:rPr>
        <w:t>1.8.2 说明书的要求</w:t>
      </w:r>
      <w:bookmarkEnd w:id="92"/>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（1）变压器的使用条件和技术参数。</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（2）变压器及主要元件的结构、安装、调试、运行、维护、检修和全部附件的完整说明和技术数据。</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（3）开箱和起吊：运输单元的质量，起吊和开箱的注意事项及专用的起吊用具等。</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（4）组装：运输单元应有清楚的标志和代号，注有运输单元号的组装示意图。</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（5）安装准备：基础施工的要求，外部接线端子的尺寸，电缆进入地点位置，接地以及各种管道的连接方式、尺寸和布置等资料。</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（6）最终的安装验收：现场交接试验项目及试验方法。</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（7）维护：主要元件的维护说明以及维修工作的分类、程序和范围。</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（8）运行检修：运行中应注意的事项及控制指标，主要元件的检修周期和检修方案。</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（9）变压器各个元件和所有附件的技术数据。</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（10）表示变压器的结构图及对基础的技术要求的说明。</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（11）结构特征、设备及其元件的更详细的说明。</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（12）其他特征的说明。</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（13）备品备件、专用工具和专用仪器仪表的使用说明。</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（14）说明书使用中文。</w:t>
      </w:r>
    </w:p>
    <w:p>
      <w:pPr>
        <w:pStyle w:val="6"/>
        <w:spacing w:before="0" w:after="0" w:line="360" w:lineRule="auto"/>
        <w:rPr>
          <w:rFonts w:hint="eastAsia" w:ascii="宋体" w:hAnsi="宋体" w:eastAsia="宋体" w:cs="宋体"/>
          <w:b w:val="0"/>
          <w:sz w:val="24"/>
          <w:szCs w:val="24"/>
        </w:rPr>
      </w:pPr>
      <w:bookmarkStart w:id="93" w:name="_Toc520986914"/>
      <w:r>
        <w:rPr>
          <w:rFonts w:hint="eastAsia" w:ascii="宋体" w:hAnsi="宋体" w:eastAsia="宋体" w:cs="宋体"/>
          <w:b w:val="0"/>
          <w:sz w:val="24"/>
          <w:szCs w:val="24"/>
        </w:rPr>
        <w:t>1.8.3 试验报告</w:t>
      </w:r>
      <w:bookmarkEnd w:id="93"/>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设备应有下列试验报告：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（1）箱式变电站型式试验、例行试验、特殊试验（含短路承受能力试验）、出厂试验报告。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（2）主要元件的型式试验报告和出厂试验报告。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（3）当产品的设计、工艺、生产条件或使用的材料及主要元件发生重大改变而影响到产品性能时，应做相应的型式试验并提供试验报告。</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94" w:name="_Toc9886"/>
      <w:bookmarkStart w:id="95" w:name="_Toc520986915"/>
      <w:bookmarkStart w:id="96" w:name="_Toc374104356"/>
      <w:r>
        <w:rPr>
          <w:rFonts w:hint="eastAsia" w:ascii="宋体" w:hAnsi="宋体" w:eastAsia="宋体" w:cs="宋体"/>
          <w:b w:val="0"/>
          <w:bCs/>
          <w:sz w:val="28"/>
          <w:szCs w:val="28"/>
        </w:rPr>
        <w:t>1.9 材料、工厂涂漆和保护涂层</w:t>
      </w:r>
      <w:bookmarkEnd w:id="73"/>
      <w:bookmarkEnd w:id="74"/>
      <w:bookmarkEnd w:id="75"/>
      <w:bookmarkEnd w:id="94"/>
      <w:bookmarkEnd w:id="95"/>
      <w:bookmarkEnd w:id="96"/>
    </w:p>
    <w:p>
      <w:pPr>
        <w:pStyle w:val="6"/>
        <w:spacing w:before="0" w:after="0" w:line="360" w:lineRule="auto"/>
        <w:rPr>
          <w:rFonts w:hint="eastAsia" w:ascii="宋体" w:hAnsi="宋体" w:eastAsia="宋体" w:cs="宋体"/>
          <w:b w:val="0"/>
          <w:sz w:val="24"/>
          <w:szCs w:val="24"/>
        </w:rPr>
      </w:pPr>
      <w:bookmarkStart w:id="97" w:name="_Toc322963462"/>
      <w:bookmarkStart w:id="98" w:name="_Toc331505966"/>
      <w:bookmarkStart w:id="99" w:name="_Toc322963644"/>
      <w:bookmarkStart w:id="100" w:name="_Toc520986916"/>
      <w:r>
        <w:rPr>
          <w:rFonts w:hint="eastAsia" w:ascii="宋体" w:hAnsi="宋体" w:eastAsia="宋体" w:cs="宋体"/>
          <w:b w:val="0"/>
          <w:sz w:val="24"/>
          <w:szCs w:val="24"/>
        </w:rPr>
        <w:t>1.9.1 材料</w:t>
      </w:r>
      <w:bookmarkEnd w:id="97"/>
      <w:bookmarkEnd w:id="98"/>
      <w:bookmarkEnd w:id="99"/>
      <w:bookmarkEnd w:id="100"/>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用于制造设备的所有材料应根据使用条件考虑强度、刚度、弹性变形、耐用性和其他化学、物理性能，选用最适用的、新的、优质的、无损伤和缺陷的材料。用于设备和部件的材料都应经过试验并提交材料试验报告。</w:t>
      </w:r>
    </w:p>
    <w:p>
      <w:pPr>
        <w:pStyle w:val="6"/>
        <w:spacing w:before="0" w:after="0" w:line="360" w:lineRule="auto"/>
        <w:rPr>
          <w:rFonts w:hint="eastAsia" w:ascii="宋体" w:hAnsi="宋体" w:eastAsia="宋体" w:cs="宋体"/>
          <w:b w:val="0"/>
          <w:sz w:val="24"/>
          <w:szCs w:val="24"/>
        </w:rPr>
      </w:pPr>
      <w:bookmarkStart w:id="101" w:name="_Toc331505967"/>
      <w:bookmarkStart w:id="102" w:name="_Toc322963645"/>
      <w:bookmarkStart w:id="103" w:name="_Toc520986917"/>
      <w:bookmarkStart w:id="104" w:name="_Toc322963463"/>
      <w:r>
        <w:rPr>
          <w:rFonts w:hint="eastAsia" w:ascii="宋体" w:hAnsi="宋体" w:eastAsia="宋体" w:cs="宋体"/>
          <w:b w:val="0"/>
          <w:sz w:val="24"/>
          <w:szCs w:val="24"/>
        </w:rPr>
        <w:t>1.9.2 工厂涂漆和保护涂层</w:t>
      </w:r>
      <w:bookmarkEnd w:id="101"/>
      <w:bookmarkEnd w:id="102"/>
      <w:bookmarkEnd w:id="103"/>
      <w:bookmarkEnd w:id="104"/>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所有由碳钢制作的且暴露在大气中的部件，均应涂漆。箱式变电站制造厂家应考虑本工程所在区域的工程概况，做好除湿、防腐、防凝露措施。</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箱体颜色均为</w:t>
      </w:r>
      <w:r>
        <w:rPr>
          <w:rFonts w:hint="eastAsia"/>
          <w:sz w:val="24"/>
          <w:highlight w:val="yellow"/>
        </w:rPr>
        <w:t>77-GY09冰灰色</w:t>
      </w:r>
      <w:r>
        <w:rPr>
          <w:rFonts w:hint="eastAsia" w:ascii="宋体" w:hAnsi="宋体" w:eastAsia="宋体" w:cs="宋体"/>
          <w:sz w:val="24"/>
          <w:szCs w:val="24"/>
        </w:rPr>
        <w:t>。</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装有连线和装置的箱柜内、外表面，检验和试验前必须喷好漆后包装妥善地运到工地。</w:t>
      </w:r>
    </w:p>
    <w:p>
      <w:pPr>
        <w:pStyle w:val="158"/>
        <w:spacing w:line="360" w:lineRule="auto"/>
        <w:ind w:firstLine="424" w:firstLineChars="177"/>
        <w:rPr>
          <w:rFonts w:hint="eastAsia" w:ascii="宋体" w:hAnsi="宋体" w:eastAsia="宋体" w:cs="宋体"/>
          <w:sz w:val="24"/>
          <w:szCs w:val="24"/>
        </w:rPr>
      </w:pPr>
      <w:bookmarkStart w:id="105" w:name="_Toc108425450"/>
      <w:bookmarkStart w:id="106" w:name="_Toc89063794"/>
      <w:r>
        <w:rPr>
          <w:rFonts w:hint="eastAsia" w:ascii="宋体" w:hAnsi="宋体" w:eastAsia="宋体" w:cs="宋体"/>
          <w:sz w:val="24"/>
          <w:szCs w:val="24"/>
        </w:rPr>
        <w:t>箱体和箱柜的内外表面平整、光洁，无锈蚀、涂层脱落和磕碰损伤现象，涂料层牢固均匀，无明显色差反光，可以保证30年不褪色，不脱落。箱体基座和所有外露金属件均进行防锈处理，并喷涂耐久的防护层。金属构件也进行防锈处理和喷涂有防护层。变压器外壳喷涂国产优质防紫外线面漆。</w:t>
      </w:r>
    </w:p>
    <w:bookmarkEnd w:id="105"/>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07" w:name="_Toc374104357"/>
      <w:bookmarkStart w:id="108" w:name="_Toc341947912"/>
      <w:bookmarkStart w:id="109" w:name="_Toc108425451"/>
      <w:bookmarkStart w:id="110" w:name="_Toc520986918"/>
      <w:bookmarkStart w:id="111" w:name="_Toc6259"/>
      <w:r>
        <w:rPr>
          <w:rFonts w:hint="eastAsia" w:ascii="宋体" w:hAnsi="宋体" w:eastAsia="宋体" w:cs="宋体"/>
          <w:b w:val="0"/>
          <w:bCs/>
          <w:sz w:val="28"/>
          <w:szCs w:val="28"/>
        </w:rPr>
        <w:t>1.10 铭牌与标志</w:t>
      </w:r>
      <w:bookmarkEnd w:id="106"/>
      <w:bookmarkEnd w:id="107"/>
      <w:bookmarkEnd w:id="108"/>
      <w:bookmarkEnd w:id="109"/>
      <w:bookmarkEnd w:id="110"/>
      <w:bookmarkEnd w:id="111"/>
    </w:p>
    <w:p>
      <w:pPr>
        <w:pStyle w:val="158"/>
        <w:spacing w:line="360" w:lineRule="auto"/>
        <w:ind w:firstLine="424" w:firstLineChars="177"/>
        <w:rPr>
          <w:rFonts w:hint="eastAsia" w:ascii="宋体" w:hAnsi="宋体" w:eastAsia="宋体" w:cs="宋体"/>
          <w:sz w:val="24"/>
          <w:szCs w:val="24"/>
        </w:rPr>
      </w:pPr>
      <w:bookmarkStart w:id="112" w:name="_Toc108425453"/>
      <w:bookmarkStart w:id="113" w:name="_Toc341947913"/>
      <w:bookmarkStart w:id="114" w:name="_Toc89063796"/>
      <w:r>
        <w:rPr>
          <w:rFonts w:hint="eastAsia" w:ascii="宋体" w:hAnsi="宋体" w:eastAsia="宋体" w:cs="宋体"/>
          <w:sz w:val="24"/>
          <w:szCs w:val="24"/>
        </w:rPr>
        <w:t>预装式变电站应设有铭牌。铭牌的材料应不受气候影响，并应固定在明显可见位置。铭牌上所标志的项目内容应清晰且牢固。出厂前需填写的内容，应是去不掉的刻印。</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铭牌上应标注的内容满足《电力变压器 第11部分 干式变压器》GB 1094.11的要求。</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预装式变电站除装设标有以上项目的主铭牌外，还应装设标有高压电器元件性能的铭牌。</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15" w:name="_Toc374104358"/>
      <w:bookmarkStart w:id="116" w:name="_Toc520986919"/>
      <w:bookmarkStart w:id="117" w:name="_Toc2658"/>
      <w:r>
        <w:rPr>
          <w:rFonts w:hint="eastAsia" w:ascii="宋体" w:hAnsi="宋体" w:eastAsia="宋体" w:cs="宋体"/>
          <w:b w:val="0"/>
          <w:bCs/>
          <w:sz w:val="28"/>
          <w:szCs w:val="28"/>
        </w:rPr>
        <w:t>1.11工厂组装与试验</w:t>
      </w:r>
      <w:bookmarkEnd w:id="112"/>
      <w:bookmarkEnd w:id="113"/>
      <w:bookmarkEnd w:id="114"/>
      <w:bookmarkEnd w:id="115"/>
      <w:bookmarkEnd w:id="116"/>
      <w:bookmarkEnd w:id="117"/>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1.11.1 所有设备/部件（包括分包、外购），在生产过程中都须进行严格的检验和试验，且所有检验、试验和装配必须有正式的记录文件，以上工作完成之后，合格者才能出厂发运，所有的出厂试验报告随同交货设备一同提供。</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1.11.2 对合同设备进行的试验和试验结果是设备质量的重要证明文件，也是试验报告的重要组成部分，应与设备出厂质量检验合格证书一起提交。</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1.11.3 在出厂试组装或出厂验收中，如果发现设备的质量不符合国家标准和技术规范规定，应采取必要的措施以保证设备质量。</w:t>
      </w:r>
    </w:p>
    <w:p>
      <w:pPr>
        <w:topLinePunct w:val="0"/>
        <w:spacing w:line="360" w:lineRule="auto"/>
        <w:rPr>
          <w:rFonts w:hint="eastAsia" w:ascii="宋体" w:hAnsi="宋体" w:eastAsia="宋体" w:cs="宋体"/>
          <w:sz w:val="24"/>
          <w:szCs w:val="24"/>
        </w:rPr>
      </w:pPr>
      <w:r>
        <w:rPr>
          <w:rFonts w:hint="eastAsia" w:ascii="宋体" w:hAnsi="宋体" w:eastAsia="宋体" w:cs="宋体"/>
          <w:sz w:val="24"/>
          <w:szCs w:val="24"/>
        </w:rPr>
        <w:t>1.11.4工厂试验由卖方在生产制造厂内完成,但应有发包方代表参加,参加工厂验收的人数及时间等规定详见标书商务部分。</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18" w:name="_Toc520986920"/>
      <w:bookmarkStart w:id="119" w:name="_Toc374104359"/>
      <w:bookmarkStart w:id="120" w:name="_Toc25086"/>
      <w:r>
        <w:rPr>
          <w:rFonts w:hint="eastAsia" w:ascii="宋体" w:hAnsi="宋体" w:eastAsia="宋体" w:cs="宋体"/>
          <w:b w:val="0"/>
          <w:bCs/>
          <w:sz w:val="28"/>
          <w:szCs w:val="28"/>
        </w:rPr>
        <w:t>1.12 包装、起吊、运输和安装</w:t>
      </w:r>
      <w:bookmarkEnd w:id="118"/>
      <w:bookmarkEnd w:id="119"/>
      <w:bookmarkEnd w:id="120"/>
    </w:p>
    <w:p>
      <w:pPr>
        <w:pStyle w:val="6"/>
        <w:spacing w:before="0" w:after="0" w:line="360" w:lineRule="auto"/>
        <w:rPr>
          <w:rFonts w:hint="eastAsia" w:ascii="宋体" w:hAnsi="宋体" w:eastAsia="宋体" w:cs="宋体"/>
          <w:b w:val="0"/>
          <w:sz w:val="24"/>
          <w:szCs w:val="24"/>
        </w:rPr>
      </w:pPr>
      <w:bookmarkStart w:id="121" w:name="_Toc257213102"/>
      <w:bookmarkStart w:id="122" w:name="_Toc257213137"/>
      <w:bookmarkStart w:id="123" w:name="_Toc256959957"/>
      <w:bookmarkStart w:id="124" w:name="_Toc249842706"/>
      <w:bookmarkStart w:id="125" w:name="_Toc520986921"/>
      <w:r>
        <w:rPr>
          <w:rFonts w:hint="eastAsia" w:ascii="宋体" w:hAnsi="宋体" w:eastAsia="宋体" w:cs="宋体"/>
          <w:b w:val="0"/>
          <w:sz w:val="24"/>
          <w:szCs w:val="24"/>
        </w:rPr>
        <w:t>1.12.1 包装</w:t>
      </w:r>
      <w:bookmarkEnd w:id="121"/>
      <w:bookmarkEnd w:id="122"/>
      <w:bookmarkEnd w:id="123"/>
      <w:bookmarkEnd w:id="124"/>
      <w:bookmarkEnd w:id="125"/>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（1）设备制造完成并通过试验后应及时包装，否则应得到切实的保护。其包装应符合铁路、公路及海运部门的有关规定。</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（2）包装箱上应有明显的包装储运图示标志，并应标明订货号和发货号。</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（3）各种包装应确保各零部件在运输过程中不丢失、不损坏、不受潮及不腐蚀。</w:t>
      </w:r>
    </w:p>
    <w:p>
      <w:pPr>
        <w:pStyle w:val="6"/>
        <w:spacing w:before="0" w:after="0" w:line="360" w:lineRule="auto"/>
        <w:rPr>
          <w:rFonts w:hint="eastAsia" w:ascii="宋体" w:hAnsi="宋体" w:eastAsia="宋体" w:cs="宋体"/>
          <w:b w:val="0"/>
          <w:sz w:val="24"/>
          <w:szCs w:val="24"/>
        </w:rPr>
      </w:pPr>
      <w:bookmarkStart w:id="126" w:name="_Toc257213138"/>
      <w:bookmarkStart w:id="127" w:name="_Toc520986922"/>
      <w:bookmarkStart w:id="128" w:name="_Toc257213103"/>
      <w:bookmarkStart w:id="129" w:name="_Toc249842707"/>
      <w:bookmarkStart w:id="130" w:name="_Toc256959958"/>
      <w:r>
        <w:rPr>
          <w:rFonts w:hint="eastAsia" w:ascii="宋体" w:hAnsi="宋体" w:eastAsia="宋体" w:cs="宋体"/>
          <w:b w:val="0"/>
          <w:sz w:val="24"/>
          <w:szCs w:val="24"/>
        </w:rPr>
        <w:t>1.12.2起吊</w:t>
      </w:r>
      <w:bookmarkEnd w:id="126"/>
      <w:bookmarkEnd w:id="127"/>
      <w:bookmarkEnd w:id="128"/>
      <w:bookmarkEnd w:id="129"/>
      <w:bookmarkEnd w:id="130"/>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预装式变电站须具有承受其总重的起吊装置，并标明吊点位置。</w:t>
      </w:r>
    </w:p>
    <w:p>
      <w:pPr>
        <w:pStyle w:val="6"/>
        <w:spacing w:before="0" w:after="0" w:line="360" w:lineRule="auto"/>
        <w:rPr>
          <w:rFonts w:hint="eastAsia" w:ascii="宋体" w:hAnsi="宋体" w:eastAsia="宋体" w:cs="宋体"/>
          <w:b w:val="0"/>
          <w:sz w:val="24"/>
          <w:szCs w:val="24"/>
        </w:rPr>
      </w:pPr>
      <w:bookmarkStart w:id="131" w:name="_Toc257213139"/>
      <w:bookmarkStart w:id="132" w:name="_Toc520986923"/>
      <w:bookmarkStart w:id="133" w:name="_Toc256959959"/>
      <w:bookmarkStart w:id="134" w:name="_Toc249842708"/>
      <w:bookmarkStart w:id="135" w:name="_Toc257213104"/>
      <w:r>
        <w:rPr>
          <w:rFonts w:hint="eastAsia" w:ascii="宋体" w:hAnsi="宋体" w:eastAsia="宋体" w:cs="宋体"/>
          <w:b w:val="0"/>
          <w:sz w:val="24"/>
          <w:szCs w:val="24"/>
        </w:rPr>
        <w:t>1.12.3运输</w:t>
      </w:r>
      <w:bookmarkEnd w:id="131"/>
      <w:bookmarkEnd w:id="132"/>
      <w:bookmarkEnd w:id="133"/>
      <w:bookmarkEnd w:id="134"/>
      <w:bookmarkEnd w:id="135"/>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（1）所有设备在运输时应符合铁路、公路及海运部门的有关规定。</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（2）设备的运输应保证其外壳不受任何损伤，内部元件不能发生位移且应保证内部元件性能完好。</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（3）所有部件经妥善包装或装箱后，在运输过程中尚应采取其它防护措施，以免散失损坏或被盗。</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（4）运输中不允许有任何的碰撞和磨损。</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（5）随产品提供的技术资料应完整无缺。</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供货商应保证预装式变电站经过运输、储存，直到安装前不损坏、不受潮。</w:t>
      </w:r>
    </w:p>
    <w:p>
      <w:pPr>
        <w:pStyle w:val="6"/>
        <w:spacing w:before="0" w:after="0" w:line="360" w:lineRule="auto"/>
        <w:rPr>
          <w:rFonts w:hint="eastAsia" w:ascii="宋体" w:hAnsi="宋体" w:eastAsia="宋体" w:cs="宋体"/>
          <w:b w:val="0"/>
          <w:sz w:val="24"/>
          <w:szCs w:val="24"/>
        </w:rPr>
      </w:pPr>
      <w:bookmarkStart w:id="136" w:name="_Toc256959960"/>
      <w:bookmarkStart w:id="137" w:name="_Toc257213140"/>
      <w:bookmarkStart w:id="138" w:name="_Toc257213105"/>
      <w:bookmarkStart w:id="139" w:name="_Toc249842709"/>
      <w:bookmarkStart w:id="140" w:name="_Toc520986924"/>
      <w:r>
        <w:rPr>
          <w:rFonts w:hint="eastAsia" w:ascii="宋体" w:hAnsi="宋体" w:eastAsia="宋体" w:cs="宋体"/>
          <w:b w:val="0"/>
          <w:sz w:val="24"/>
          <w:szCs w:val="24"/>
        </w:rPr>
        <w:t>1.12.4安装</w:t>
      </w:r>
      <w:bookmarkEnd w:id="136"/>
      <w:bookmarkEnd w:id="137"/>
      <w:bookmarkEnd w:id="138"/>
      <w:bookmarkEnd w:id="139"/>
      <w:bookmarkEnd w:id="140"/>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Pr>
        <w:pStyle w:val="158"/>
        <w:spacing w:line="360" w:lineRule="auto"/>
        <w:ind w:firstLine="424" w:firstLineChars="177"/>
        <w:rPr>
          <w:rFonts w:hint="eastAsia" w:ascii="宋体" w:hAnsi="宋体" w:eastAsia="宋体" w:cs="宋体"/>
          <w:sz w:val="24"/>
          <w:szCs w:val="24"/>
        </w:rPr>
      </w:pPr>
      <w:bookmarkStart w:id="141" w:name="_Toc183774742"/>
      <w:bookmarkStart w:id="142" w:name="_Toc255379548"/>
      <w:r>
        <w:rPr>
          <w:rFonts w:hint="eastAsia" w:ascii="宋体" w:hAnsi="宋体" w:eastAsia="宋体" w:cs="宋体"/>
          <w:sz w:val="24"/>
          <w:szCs w:val="24"/>
        </w:rPr>
        <w:t>设备供应商负责现场交付所有设备；提供设备基础设计要求；并配合协助完成接地安装和现场调试。</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43" w:name="_Toc520986925"/>
      <w:bookmarkStart w:id="144" w:name="_Toc2017"/>
      <w:bookmarkStart w:id="145" w:name="_Toc374104360"/>
      <w:r>
        <w:rPr>
          <w:rFonts w:hint="eastAsia" w:ascii="宋体" w:hAnsi="宋体" w:eastAsia="宋体" w:cs="宋体"/>
          <w:b w:val="0"/>
          <w:bCs/>
          <w:sz w:val="28"/>
          <w:szCs w:val="28"/>
        </w:rPr>
        <w:t>1.13</w:t>
      </w:r>
      <w:bookmarkEnd w:id="141"/>
      <w:bookmarkEnd w:id="142"/>
      <w:r>
        <w:rPr>
          <w:rFonts w:hint="eastAsia" w:ascii="宋体" w:hAnsi="宋体" w:eastAsia="宋体" w:cs="宋体"/>
          <w:b w:val="0"/>
          <w:bCs/>
          <w:sz w:val="28"/>
          <w:szCs w:val="28"/>
        </w:rPr>
        <w:t>设备的技术数据和信息</w:t>
      </w:r>
      <w:bookmarkEnd w:id="143"/>
      <w:bookmarkEnd w:id="144"/>
      <w:bookmarkEnd w:id="145"/>
    </w:p>
    <w:tbl>
      <w:tblPr>
        <w:tblStyle w:val="76"/>
        <w:tblW w:w="8789"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265"/>
        <w:gridCol w:w="38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序号</w:t>
            </w:r>
          </w:p>
        </w:tc>
        <w:tc>
          <w:tcPr>
            <w:tcW w:w="4265"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文件名称</w:t>
            </w:r>
          </w:p>
        </w:tc>
        <w:tc>
          <w:tcPr>
            <w:tcW w:w="3815"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1</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rPr>
            </w:pPr>
            <w:r>
              <w:rPr>
                <w:rFonts w:hint="eastAsia" w:ascii="宋体" w:hAnsi="宋体" w:eastAsia="宋体" w:cs="宋体"/>
              </w:rPr>
              <w:t>技术参数表</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rPr>
            </w:pPr>
            <w:r>
              <w:rPr>
                <w:rFonts w:hint="eastAsia" w:ascii="宋体" w:hAnsi="宋体" w:eastAsia="宋体" w:cs="宋体"/>
                <w:kern w:val="21"/>
              </w:rPr>
              <w:t>专用部分附表2-1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2</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rPr>
            </w:pPr>
            <w:r>
              <w:rPr>
                <w:rFonts w:hint="eastAsia" w:ascii="宋体" w:hAnsi="宋体" w:eastAsia="宋体" w:cs="宋体"/>
                <w:kern w:val="21"/>
              </w:rPr>
              <w:t>货物需求及供货范围一览表</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专用部分附表3-1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3</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主要外购元器件清单</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专用部分附表3-2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4</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必需的专用工具和仪器仪表</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专用部分附表3-3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5</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推荐的专用工具和仪器仪表</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专用部分附表3-4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6</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进口部件清单（若有）</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专用部分附表3-5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7</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rPr>
              <w:t>主要部件材料清单</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专用部分附表3-6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8</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rPr>
              <w:t>使用条件</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kern w:val="21"/>
              </w:rPr>
              <w:t>专用部分附表1-1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9</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rPr>
            </w:pPr>
            <w:r>
              <w:rPr>
                <w:rFonts w:hint="eastAsia" w:ascii="宋体" w:hAnsi="宋体" w:eastAsia="宋体" w:cs="宋体"/>
              </w:rPr>
              <w:t>产品型式试验报告(包括报告复印件)</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rPr>
              <w:t>专用部分附表4-1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10</w:t>
            </w:r>
          </w:p>
        </w:tc>
        <w:tc>
          <w:tcPr>
            <w:tcW w:w="4265" w:type="dxa"/>
            <w:vAlign w:val="center"/>
          </w:tcPr>
          <w:p>
            <w:pPr>
              <w:keepNext w:val="0"/>
              <w:keepLines w:val="0"/>
              <w:suppressLineNumbers w:val="0"/>
              <w:snapToGrid w:val="0"/>
              <w:spacing w:before="0" w:beforeAutospacing="0" w:after="0" w:afterAutospacing="0" w:line="380" w:lineRule="exact"/>
              <w:ind w:left="0" w:right="0"/>
              <w:rPr>
                <w:rFonts w:hint="eastAsia" w:ascii="宋体" w:hAnsi="宋体" w:eastAsia="宋体" w:cs="宋体"/>
              </w:rPr>
            </w:pPr>
            <w:r>
              <w:rPr>
                <w:rFonts w:hint="eastAsia" w:ascii="宋体" w:hAnsi="宋体" w:eastAsia="宋体" w:cs="宋体"/>
                <w:kern w:val="21"/>
              </w:rPr>
              <w:t>高压/低压预装式变电站</w:t>
            </w:r>
            <w:r>
              <w:rPr>
                <w:rFonts w:hint="eastAsia" w:ascii="宋体" w:hAnsi="宋体" w:eastAsia="宋体" w:cs="宋体"/>
              </w:rPr>
              <w:t>总装图、接线图</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rPr>
            </w:pPr>
            <w:r>
              <w:rPr>
                <w:rFonts w:hint="eastAsia" w:ascii="宋体" w:hAnsi="宋体" w:eastAsia="宋体" w:cs="宋体"/>
              </w:rPr>
              <w:t>每台</w:t>
            </w:r>
            <w:r>
              <w:rPr>
                <w:rFonts w:hint="eastAsia" w:ascii="宋体" w:hAnsi="宋体" w:eastAsia="宋体" w:cs="宋体"/>
                <w:kern w:val="21"/>
              </w:rPr>
              <w:t>高压/低压预装式变电站</w:t>
            </w:r>
            <w:r>
              <w:rPr>
                <w:rFonts w:hint="eastAsia" w:ascii="宋体" w:hAnsi="宋体" w:eastAsia="宋体" w:cs="宋体"/>
              </w:rPr>
              <w:t>均应有一个电路图，相同的可采用一套图纸。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11</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rPr>
            </w:pPr>
            <w:r>
              <w:rPr>
                <w:rFonts w:hint="eastAsia" w:ascii="宋体" w:hAnsi="宋体" w:eastAsia="宋体" w:cs="宋体"/>
              </w:rPr>
              <w:t>供货商设备样本</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9" w:type="dxa"/>
            <w:vAlign w:val="center"/>
          </w:tcPr>
          <w:p>
            <w:pPr>
              <w:keepNext w:val="0"/>
              <w:keepLines w:val="0"/>
              <w:suppressLineNumbers w:val="0"/>
              <w:spacing w:before="0" w:beforeAutospacing="0" w:after="0" w:afterAutospacing="0" w:line="380" w:lineRule="exact"/>
              <w:ind w:left="0" w:right="0"/>
              <w:jc w:val="center"/>
              <w:rPr>
                <w:rFonts w:hint="eastAsia" w:ascii="宋体" w:hAnsi="宋体" w:eastAsia="宋体" w:cs="宋体"/>
              </w:rPr>
            </w:pPr>
            <w:r>
              <w:rPr>
                <w:rFonts w:hint="eastAsia" w:ascii="宋体" w:hAnsi="宋体" w:eastAsia="宋体" w:cs="宋体"/>
              </w:rPr>
              <w:t>12</w:t>
            </w:r>
          </w:p>
        </w:tc>
        <w:tc>
          <w:tcPr>
            <w:tcW w:w="426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0"/>
                <w:sz w:val="22"/>
                <w:szCs w:val="22"/>
              </w:rPr>
            </w:pPr>
            <w:r>
              <w:rPr>
                <w:rFonts w:hint="eastAsia" w:ascii="宋体" w:hAnsi="宋体" w:eastAsia="宋体" w:cs="宋体"/>
              </w:rPr>
              <w:t>其它</w:t>
            </w:r>
          </w:p>
        </w:tc>
        <w:tc>
          <w:tcPr>
            <w:tcW w:w="3815" w:type="dxa"/>
            <w:vAlign w:val="center"/>
          </w:tcPr>
          <w:p>
            <w:pPr>
              <w:keepNext w:val="0"/>
              <w:keepLines w:val="0"/>
              <w:suppressLineNumbers w:val="0"/>
              <w:spacing w:before="0" w:beforeAutospacing="0" w:after="0" w:afterAutospacing="0" w:line="380" w:lineRule="exact"/>
              <w:ind w:left="0" w:right="0"/>
              <w:rPr>
                <w:rFonts w:hint="eastAsia" w:ascii="宋体" w:hAnsi="宋体" w:eastAsia="宋体" w:cs="宋体"/>
                <w:kern w:val="21"/>
              </w:rPr>
            </w:pPr>
            <w:r>
              <w:rPr>
                <w:rFonts w:hint="eastAsia" w:ascii="宋体" w:hAnsi="宋体" w:eastAsia="宋体" w:cs="宋体"/>
              </w:rPr>
              <w:t>供应商认为需要提供的数据和资料</w:t>
            </w:r>
          </w:p>
        </w:tc>
      </w:tr>
    </w:tbl>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146" w:name="_Toc113808680"/>
      <w:bookmarkStart w:id="147" w:name="_Toc156123408"/>
      <w:bookmarkStart w:id="148" w:name="_Toc520986926"/>
      <w:bookmarkStart w:id="149" w:name="_Toc374104361"/>
      <w:bookmarkStart w:id="150" w:name="_Toc12612"/>
      <w:r>
        <w:rPr>
          <w:rFonts w:hint="eastAsia" w:ascii="宋体" w:hAnsi="宋体" w:eastAsia="宋体" w:cs="宋体"/>
          <w:highlight w:val="none"/>
        </w:rPr>
        <w:t xml:space="preserve">2 </w:t>
      </w:r>
      <w:bookmarkEnd w:id="146"/>
      <w:bookmarkEnd w:id="147"/>
      <w:r>
        <w:rPr>
          <w:rFonts w:hint="eastAsia" w:ascii="宋体" w:hAnsi="宋体" w:eastAsia="宋体" w:cs="宋体"/>
          <w:highlight w:val="none"/>
        </w:rPr>
        <w:t>结构及其它要求</w:t>
      </w:r>
      <w:bookmarkEnd w:id="148"/>
      <w:bookmarkEnd w:id="149"/>
      <w:bookmarkEnd w:id="150"/>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51" w:name="_Toc520986927"/>
      <w:bookmarkStart w:id="152" w:name="_Toc16487"/>
      <w:bookmarkStart w:id="153" w:name="_Toc374104362"/>
      <w:bookmarkStart w:id="154" w:name="_Toc255394703"/>
      <w:r>
        <w:rPr>
          <w:rFonts w:hint="eastAsia" w:ascii="宋体" w:hAnsi="宋体" w:eastAsia="宋体" w:cs="宋体"/>
          <w:b w:val="0"/>
          <w:bCs/>
          <w:sz w:val="28"/>
          <w:szCs w:val="28"/>
        </w:rPr>
        <w:t>2.1技术参数</w:t>
      </w:r>
      <w:bookmarkEnd w:id="151"/>
      <w:bookmarkEnd w:id="152"/>
      <w:bookmarkEnd w:id="153"/>
      <w:bookmarkEnd w:id="154"/>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见专用部分的技术参数表（专用部分附表2-1）。</w:t>
      </w:r>
    </w:p>
    <w:p>
      <w:pPr>
        <w:pStyle w:val="4"/>
        <w:keepNext/>
        <w:keepLines/>
        <w:pageBreakBefore w:val="0"/>
        <w:widowControl w:val="0"/>
        <w:kinsoku/>
        <w:wordWrap/>
        <w:overflowPunct/>
        <w:topLinePunct/>
        <w:autoSpaceDE/>
        <w:autoSpaceDN/>
        <w:bidi w:val="0"/>
        <w:adjustRightInd/>
        <w:snapToGrid/>
        <w:spacing w:before="0" w:after="0" w:line="360" w:lineRule="auto"/>
        <w:textAlignment w:val="auto"/>
        <w:rPr>
          <w:rFonts w:hint="eastAsia" w:ascii="宋体" w:hAnsi="宋体" w:eastAsia="宋体" w:cs="宋体"/>
          <w:b w:val="0"/>
          <w:sz w:val="28"/>
          <w:szCs w:val="28"/>
        </w:rPr>
      </w:pPr>
      <w:bookmarkStart w:id="155" w:name="_Toc7117"/>
      <w:bookmarkStart w:id="156" w:name="_Toc520986928"/>
      <w:bookmarkStart w:id="157" w:name="_Toc374104363"/>
      <w:bookmarkStart w:id="158" w:name="_Toc165125329"/>
      <w:bookmarkStart w:id="159" w:name="_Toc252017587"/>
      <w:bookmarkStart w:id="160" w:name="_Toc156016643"/>
      <w:bookmarkStart w:id="161" w:name="_Toc255394704"/>
      <w:r>
        <w:rPr>
          <w:rFonts w:hint="eastAsia" w:ascii="宋体" w:hAnsi="宋体" w:eastAsia="宋体" w:cs="宋体"/>
          <w:b w:val="0"/>
          <w:sz w:val="28"/>
          <w:szCs w:val="28"/>
        </w:rPr>
        <w:t>2.2 通用要求</w:t>
      </w:r>
      <w:bookmarkEnd w:id="155"/>
      <w:bookmarkEnd w:id="156"/>
      <w:bookmarkEnd w:id="157"/>
      <w:bookmarkEnd w:id="158"/>
      <w:bookmarkEnd w:id="159"/>
      <w:bookmarkEnd w:id="160"/>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箱式变电站应经过严格设计及试验验证，保证箱变的正常安全运行。高压/低压预装式变电站由高压室、变压器、低压室三个独立小室组成。其内部布置结构按标准设计图纸要求设定。高压/低压预装式变电站采用自然通风方式，自然通风条件下，在额定和1.5倍短时过负荷运行状态下的温升，应符合《国家电网公司输变电工程通用设备》（66kV及以下变配电站典型规范）规定。箱式变电站内部应采取除湿和防凝露、防腐措施。站用电控制箱应具有照明、检修维护等功能。</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高压/低压预装式变电站的组成：</w:t>
      </w:r>
    </w:p>
    <w:p>
      <w:pPr>
        <w:pStyle w:val="158"/>
        <w:spacing w:line="360" w:lineRule="auto"/>
        <w:ind w:firstLine="424" w:firstLineChars="177"/>
        <w:rPr>
          <w:rFonts w:hint="eastAsia" w:ascii="宋体" w:hAnsi="宋体" w:eastAsia="宋体" w:cs="宋体"/>
          <w:kern w:val="0"/>
          <w:sz w:val="24"/>
          <w:szCs w:val="24"/>
        </w:rPr>
      </w:pPr>
      <w:r>
        <w:rPr>
          <w:rFonts w:hint="eastAsia" w:ascii="宋体" w:hAnsi="宋体" w:eastAsia="宋体" w:cs="宋体"/>
          <w:sz w:val="24"/>
          <w:szCs w:val="24"/>
        </w:rPr>
        <w:t>由高/低压室两个小室加变压器组成，变压器采用干式变。</w:t>
      </w:r>
    </w:p>
    <w:p>
      <w:pPr>
        <w:pStyle w:val="158"/>
        <w:spacing w:line="360" w:lineRule="auto"/>
        <w:ind w:firstLine="417" w:firstLineChars="174"/>
        <w:rPr>
          <w:rFonts w:hint="eastAsia" w:ascii="宋体" w:hAnsi="宋体" w:eastAsia="宋体" w:cs="宋体"/>
          <w:sz w:val="24"/>
          <w:szCs w:val="24"/>
        </w:rPr>
      </w:pPr>
      <w:r>
        <w:rPr>
          <w:rFonts w:hint="eastAsia" w:ascii="宋体" w:hAnsi="宋体" w:eastAsia="宋体" w:cs="宋体"/>
          <w:sz w:val="24"/>
          <w:szCs w:val="24"/>
        </w:rPr>
        <w:t>开关设备具体配置按本项目方案附图，其高低压配电装置的基本组合方案如下：</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高压侧：避雷器+</w:t>
      </w:r>
      <w:r>
        <w:rPr>
          <w:rFonts w:hint="eastAsia" w:cs="宋体"/>
          <w:sz w:val="24"/>
          <w:szCs w:val="24"/>
          <w:lang w:val="en-US" w:eastAsia="zh-CN"/>
        </w:rPr>
        <w:t>真空断路器</w:t>
      </w:r>
      <w:r>
        <w:rPr>
          <w:rFonts w:hint="eastAsia" w:ascii="宋体" w:hAnsi="宋体" w:eastAsia="宋体" w:cs="宋体"/>
          <w:sz w:val="24"/>
          <w:szCs w:val="24"/>
        </w:rPr>
        <w:t>+隔离开关+接地开关</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低压侧：框架断路器+低压浪涌/避雷器+自带干式变压器</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变压器箱体、高/低压室两个小室，均配置具有温湿度控制的防凝露智能除湿装置，以避免内部元件发生凝露。其环境温度过高信号应上传至监控装置。</w:t>
      </w:r>
    </w:p>
    <w:p>
      <w:pPr>
        <w:pStyle w:val="6"/>
        <w:spacing w:before="0" w:after="0" w:line="360" w:lineRule="auto"/>
        <w:rPr>
          <w:rFonts w:hint="eastAsia" w:ascii="宋体" w:hAnsi="宋体" w:eastAsia="宋体" w:cs="宋体"/>
          <w:b w:val="0"/>
          <w:sz w:val="24"/>
          <w:szCs w:val="24"/>
        </w:rPr>
      </w:pPr>
      <w:bookmarkStart w:id="162" w:name="_Toc520986929"/>
      <w:r>
        <w:rPr>
          <w:rFonts w:hint="eastAsia" w:ascii="宋体" w:hAnsi="宋体" w:eastAsia="宋体" w:cs="宋体"/>
          <w:b w:val="0"/>
          <w:sz w:val="24"/>
          <w:szCs w:val="24"/>
        </w:rPr>
        <w:t>2.2.1箱体</w:t>
      </w:r>
      <w:bookmarkEnd w:id="162"/>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高压室应具备五防功能，产品结构紧凑体积小、安装方便、性能可靠、少维护。高压/低压预装式变电站内部采用钢板及阻燃绝缘隔板严密分割成高压室、变压器室、低压室。开关柜内隔板、活门、绝缘件等所有附件应为耐火阻燃材料。并安装带电显示。应提供</w:t>
      </w:r>
      <w:r>
        <w:rPr>
          <w:rFonts w:hint="eastAsia" w:ascii="宋体" w:hAnsi="宋体" w:cs="宋体"/>
          <w:sz w:val="24"/>
          <w:szCs w:val="24"/>
          <w:lang w:val="en-US" w:eastAsia="zh-CN"/>
        </w:rPr>
        <w:t>断路器</w:t>
      </w:r>
      <w:r>
        <w:rPr>
          <w:rFonts w:hint="eastAsia" w:ascii="宋体" w:hAnsi="宋体" w:eastAsia="宋体" w:cs="宋体"/>
          <w:sz w:val="24"/>
          <w:szCs w:val="24"/>
        </w:rPr>
        <w:t>操作手柄作为必备附件。箱变门的内侧应标出主回路的线路图，同时应注明操作程序和注意事项；开关状态位置应有中文标识；信号灯及仪表应装设在易于观察和方便、安全地更换的地方；电缆接线高度应满足安装、试验、检修的要求。</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（2）柜体钢板均应采用冷轧钢板或敷铝锌板，表面经过酸洗、磷化处理后喷漆。</w:t>
      </w:r>
    </w:p>
    <w:p>
      <w:pPr>
        <w:spacing w:line="360" w:lineRule="auto"/>
        <w:ind w:firstLine="420" w:firstLineChars="0"/>
        <w:rPr>
          <w:rFonts w:hint="eastAsia" w:ascii="宋体" w:hAnsi="宋体" w:eastAsia="宋体" w:cs="宋体"/>
        </w:rPr>
      </w:pPr>
      <w:r>
        <w:rPr>
          <w:rFonts w:hint="eastAsia" w:ascii="宋体" w:hAnsi="宋体" w:eastAsia="宋体" w:cs="宋体"/>
          <w:sz w:val="24"/>
          <w:szCs w:val="24"/>
        </w:rPr>
        <w:t>（3）高压/低压预装式变电站箱体应具有防潮、防霉、防盐雾、防腐蚀、不锈蚀、防凝露、抗暴晒、抗台风、抗紫外线辐射等特点，外壳的材料选用高强度、使用寿命长的冷轧钢板，防护等级高压室IP54，变压器室IP33。箱变外壳采用冷轧钢板，厚度2.0mm，箱变外壳材料及厚度应满足国标要求，以国标要求为准。箱体采用双层保温结构，外围四角采用直角工艺，外部机械撞击不小于20J。外壳在起吊、运输和安装时不应变形或损伤。箱式变电站设计使用寿命不应小于30年。箱壳表面应有明显的中英文对照的“高压危险 请勿靠近”等反光警示标志。反光警示标志颜色至少3年不褪色。</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门的设计尺寸应与所装用的设备尺寸相配合，所有的门应向外开，开启角度应大于90°，并设定位装置。门应有加密封条密封措施，并装有把手、暗闩和能防雨、防堵、防锈，铰链应采用外铰链，门应有装设外挂锁。当门关上时，应提供对外壳规定的防护等级。</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箱式变电站应采用自然通风，箱体应设足够的自然通风口和隔热措施，以保证在工程实际环境条件下运行时，所有电器设备不超过其最大允许温度。</w:t>
      </w:r>
    </w:p>
    <w:p>
      <w:pPr>
        <w:spacing w:line="360" w:lineRule="auto"/>
        <w:ind w:firstLine="480" w:firstLineChars="200"/>
        <w:rPr>
          <w:rFonts w:hint="eastAsia" w:ascii="宋体" w:hAnsi="宋体" w:eastAsia="宋体" w:cs="宋体"/>
        </w:rPr>
      </w:pPr>
      <w:r>
        <w:rPr>
          <w:rFonts w:hint="eastAsia" w:ascii="宋体" w:hAnsi="宋体" w:eastAsia="宋体" w:cs="宋体"/>
          <w:sz w:val="24"/>
          <w:szCs w:val="24"/>
        </w:rPr>
        <w:t>（4）顶盖采用双层，斜顶结构，有隔热作用，减少日照引起的变电站室内温度升高，顶部承受不小于2500N/m</w:t>
      </w:r>
      <w:r>
        <w:rPr>
          <w:rFonts w:hint="eastAsia" w:ascii="宋体" w:hAnsi="宋体" w:eastAsia="宋体" w:cs="宋体"/>
          <w:sz w:val="24"/>
          <w:szCs w:val="24"/>
          <w:vertAlign w:val="superscript"/>
        </w:rPr>
        <w:t>2</w:t>
      </w:r>
      <w:r>
        <w:rPr>
          <w:rFonts w:hint="eastAsia" w:ascii="宋体" w:hAnsi="宋体" w:eastAsia="宋体" w:cs="宋体"/>
          <w:sz w:val="24"/>
          <w:szCs w:val="24"/>
        </w:rPr>
        <w:t>负荷，并确保站顶不渗水、滴漏。箱式变电站应有防止小动物进入的措施。</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（5）高压/低压预装式变电站按照标准预装式变电站结构型式的要求制造，预装式变电站内装设供箱变用电负荷用的电源变压器。</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（6）箱体墙壁内外应光滑平整，柜内不应有型钢凸出，柜外不见铆接、焊接等情况。</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（7）箱体顶盖的倾斜度不应小于3度，并应装设防雨檐。箱体的顶盖为双层结构以防止热辐射。</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（8）箱体内壁和隔板色彩应与内部电器设备协调。</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（9）箱体骨架焊接并进行防腐处理。所有焊接与组装应牢固，焊缝应光洁均匀，无焊穿、裂纹、溅渣、气孔等现象。</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10）变压器的设计应满足消防要求及减少对环境影响。满足防火规范的要求,箱变房内逆变器小室及高压室分别至少配置2只2kg以上的干粉灭火器，内部火灾时可通过干粉灭火器进行灭火，同时，内部的消防报警动作，通知控制中心进行消防灭火工作。</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（11）箱内附件</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应具备普通电流、电压表、电缆头挂板、接地螺栓、吊装钩等。</w:t>
      </w:r>
    </w:p>
    <w:p>
      <w:pPr>
        <w:pStyle w:val="6"/>
        <w:spacing w:before="0" w:after="0" w:line="360" w:lineRule="auto"/>
        <w:rPr>
          <w:rFonts w:hint="eastAsia" w:ascii="宋体" w:hAnsi="宋体" w:eastAsia="宋体" w:cs="宋体"/>
          <w:b w:val="0"/>
          <w:sz w:val="24"/>
          <w:szCs w:val="24"/>
        </w:rPr>
      </w:pPr>
      <w:bookmarkStart w:id="163" w:name="_Toc520986930"/>
      <w:r>
        <w:rPr>
          <w:rFonts w:hint="eastAsia" w:ascii="宋体" w:hAnsi="宋体" w:eastAsia="宋体" w:cs="宋体"/>
          <w:b w:val="0"/>
          <w:sz w:val="24"/>
          <w:szCs w:val="24"/>
        </w:rPr>
        <w:t>2.2.2高压部分</w:t>
      </w:r>
      <w:bookmarkEnd w:id="163"/>
    </w:p>
    <w:p>
      <w:pPr>
        <w:ind w:firstLine="424" w:firstLineChars="177"/>
        <w:rPr>
          <w:rFonts w:hint="eastAsia" w:ascii="宋体" w:hAnsi="宋体" w:eastAsia="宋体" w:cs="宋体"/>
          <w:bCs/>
          <w:sz w:val="24"/>
          <w:szCs w:val="24"/>
        </w:rPr>
      </w:pPr>
      <w:r>
        <w:rPr>
          <w:rFonts w:hint="eastAsia" w:ascii="宋体" w:hAnsi="宋体" w:eastAsia="宋体" w:cs="宋体"/>
          <w:bCs/>
          <w:sz w:val="24"/>
          <w:szCs w:val="24"/>
        </w:rPr>
        <w:t>设备采用</w:t>
      </w:r>
      <w:r>
        <w:rPr>
          <w:rFonts w:hint="eastAsia" w:ascii="宋体" w:hAnsi="宋体" w:eastAsia="宋体" w:cs="宋体"/>
          <w:bCs/>
          <w:sz w:val="24"/>
          <w:szCs w:val="24"/>
          <w:highlight w:val="none"/>
        </w:rPr>
        <w:t>真空断路器柜</w:t>
      </w:r>
      <w:r>
        <w:rPr>
          <w:rFonts w:hint="eastAsia" w:ascii="宋体" w:hAnsi="宋体" w:eastAsia="宋体" w:cs="宋体"/>
          <w:bCs/>
          <w:sz w:val="24"/>
          <w:szCs w:val="24"/>
        </w:rPr>
        <w:t>。确保靠可靠性的人身安全，真正做到免维护。</w:t>
      </w:r>
    </w:p>
    <w:p>
      <w:pPr>
        <w:pStyle w:val="7"/>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2.2.2.1 概述</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预装式变电站高压室配置</w:t>
      </w:r>
      <w:r>
        <w:rPr>
          <w:rFonts w:hint="eastAsia" w:ascii="宋体" w:hAnsi="宋体" w:eastAsia="宋体" w:cs="宋体"/>
          <w:sz w:val="24"/>
          <w:szCs w:val="24"/>
          <w:highlight w:val="none"/>
        </w:rPr>
        <w:t>配置真空断路器</w:t>
      </w:r>
      <w:r>
        <w:rPr>
          <w:rFonts w:hint="eastAsia" w:ascii="宋体" w:hAnsi="宋体" w:eastAsia="宋体" w:cs="宋体"/>
          <w:sz w:val="24"/>
          <w:szCs w:val="24"/>
        </w:rPr>
        <w:t>，隔离开关，接地开关；并配置有避雷器，带电显示</w:t>
      </w:r>
      <w:r>
        <w:rPr>
          <w:rFonts w:hint="eastAsia" w:ascii="宋体" w:hAnsi="宋体" w:eastAsia="宋体" w:cs="宋体"/>
          <w:sz w:val="24"/>
          <w:szCs w:val="24"/>
          <w:lang w:eastAsia="zh-CN"/>
        </w:rPr>
        <w:t>器</w:t>
      </w:r>
      <w:r>
        <w:rPr>
          <w:rFonts w:hint="eastAsia" w:ascii="宋体" w:hAnsi="宋体" w:eastAsia="宋体" w:cs="宋体"/>
          <w:sz w:val="24"/>
          <w:szCs w:val="24"/>
        </w:rPr>
        <w:t>。</w:t>
      </w:r>
    </w:p>
    <w:p>
      <w:pPr>
        <w:pStyle w:val="7"/>
        <w:spacing w:before="0" w:after="0" w:line="360" w:lineRule="auto"/>
        <w:rPr>
          <w:rFonts w:hint="eastAsia" w:ascii="宋体" w:hAnsi="宋体" w:eastAsia="宋体" w:cs="宋体"/>
          <w:b w:val="0"/>
          <w:sz w:val="24"/>
          <w:szCs w:val="24"/>
          <w:lang w:eastAsia="zh-CN"/>
        </w:rPr>
      </w:pPr>
      <w:r>
        <w:rPr>
          <w:rFonts w:hint="eastAsia" w:ascii="宋体" w:hAnsi="宋体" w:eastAsia="宋体" w:cs="宋体"/>
          <w:b w:val="0"/>
          <w:sz w:val="24"/>
          <w:szCs w:val="24"/>
        </w:rPr>
        <w:t xml:space="preserve">2.2.2.2 </w:t>
      </w:r>
      <w:r>
        <w:rPr>
          <w:rFonts w:hint="eastAsia" w:ascii="宋体" w:hAnsi="宋体" w:eastAsia="宋体" w:cs="宋体"/>
          <w:b w:val="0"/>
          <w:sz w:val="24"/>
          <w:szCs w:val="24"/>
          <w:lang w:eastAsia="zh-CN"/>
        </w:rPr>
        <w:t>10kV</w:t>
      </w:r>
      <w:r>
        <w:rPr>
          <w:rFonts w:hint="eastAsia" w:ascii="宋体" w:hAnsi="宋体" w:eastAsia="宋体" w:cs="宋体"/>
          <w:sz w:val="24"/>
          <w:szCs w:val="24"/>
        </w:rPr>
        <w:t>真空</w:t>
      </w:r>
      <w:r>
        <w:rPr>
          <w:rFonts w:hint="eastAsia" w:ascii="宋体" w:hAnsi="宋体" w:eastAsia="宋体" w:cs="宋体"/>
          <w:sz w:val="24"/>
          <w:szCs w:val="24"/>
          <w:lang w:val="en-US" w:eastAsia="zh-CN"/>
        </w:rPr>
        <w:t>断路器</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（1）真空断路器应采用操动机构与本体一体化结构。</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（2）真空灭弧室应与型式试验中采用的一致。</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（3）真空灭弧室要求采用陶瓷外壳。</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（4）真空灭弧室在出厂时应做“老化”试验，并附有报告。</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（5）真空断路器上应设有易于监视真空幵关触头磨损成度的标记。</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（6）真空断路器接地金属外壳上应有防锈的、导电性能良好的、直径为12mm</w:t>
      </w:r>
      <w:r>
        <w:rPr>
          <w:rFonts w:hint="eastAsia" w:ascii="宋体" w:hAnsi="宋体" w:eastAsia="宋体" w:cs="宋体"/>
          <w:position w:val="-4"/>
          <w:sz w:val="24"/>
          <w:szCs w:val="24"/>
          <w:highlight w:val="none"/>
        </w:rPr>
        <w:object>
          <v:shape id="_x0000_i1025" o:spt="75" type="#_x0000_t75" style="height:15pt;width:7.8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ascii="宋体" w:hAnsi="宋体" w:eastAsia="宋体" w:cs="宋体"/>
          <w:sz w:val="24"/>
          <w:szCs w:val="24"/>
          <w:highlight w:val="none"/>
        </w:rPr>
        <w:t>的接地螺钉。接地点附近应标有接地符号。</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（7）操动机构要求</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（a）操动机构釆用弹簧操动机构，应保证断路器能三相分、合闸以及三相跳闸和自动重合闸。</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（b）操动机构自身应具备防止跳跃的性能。应配备断路器的分合闸指示，操动机构的计数器，储能状态指示应明显清晰，便于观察，且均用中文表示。</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（c）安装能显示断路器操作次数的计数器。该计数器与操作回路无电气联系，且不影响断路器的合分闸操作。计数器为合闸记数。</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（d）弹簧操动机构应能电动机储能并可手动储能，可紧急跳闸。</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（e）操动机构的额定电源电压（</w:t>
      </w:r>
      <w:r>
        <w:rPr>
          <w:rFonts w:hint="eastAsia" w:ascii="宋体" w:hAnsi="宋体" w:eastAsia="宋体" w:cs="宋体"/>
          <w:bCs w:val="0"/>
          <w:sz w:val="24"/>
          <w:szCs w:val="24"/>
          <w:highlight w:val="none"/>
        </w:rPr>
        <w:t>Ua)</w:t>
      </w:r>
      <w:r>
        <w:rPr>
          <w:rFonts w:hint="eastAsia" w:ascii="宋体" w:hAnsi="宋体" w:eastAsia="宋体" w:cs="宋体"/>
          <w:sz w:val="24"/>
          <w:szCs w:val="24"/>
          <w:highlight w:val="none"/>
        </w:rPr>
        <w:t>为交流</w:t>
      </w:r>
      <w:r>
        <w:rPr>
          <w:rFonts w:hint="eastAsia" w:ascii="宋体" w:hAnsi="宋体" w:eastAsia="宋体" w:cs="宋体"/>
          <w:bCs w:val="0"/>
          <w:sz w:val="24"/>
          <w:szCs w:val="24"/>
          <w:highlight w:val="none"/>
        </w:rPr>
        <w:t>220V</w:t>
      </w:r>
      <w:r>
        <w:rPr>
          <w:rFonts w:hint="eastAsia" w:ascii="宋体" w:hAnsi="宋体" w:eastAsia="宋体" w:cs="宋体"/>
          <w:sz w:val="24"/>
          <w:szCs w:val="24"/>
          <w:highlight w:val="none"/>
        </w:rPr>
        <w:t>，并联脱扣器应能满足：</w:t>
      </w:r>
      <w:r>
        <w:rPr>
          <w:rFonts w:hint="eastAsia" w:ascii="宋体" w:hAnsi="宋体" w:eastAsia="宋体" w:cs="宋体"/>
          <w:bCs w:val="0"/>
          <w:sz w:val="24"/>
          <w:szCs w:val="24"/>
          <w:highlight w:val="none"/>
        </w:rPr>
        <w:t>85</w:t>
      </w:r>
      <w:r>
        <w:rPr>
          <w:rFonts w:hint="eastAsia" w:ascii="宋体" w:hAnsi="宋体" w:eastAsia="宋体" w:cs="宋体"/>
          <w:sz w:val="24"/>
          <w:szCs w:val="24"/>
          <w:highlight w:val="none"/>
        </w:rPr>
        <w:t>%〜</w:t>
      </w:r>
      <w:r>
        <w:rPr>
          <w:rFonts w:hint="eastAsia" w:ascii="宋体" w:hAnsi="宋体" w:eastAsia="宋体" w:cs="宋体"/>
          <w:bCs w:val="0"/>
          <w:sz w:val="24"/>
          <w:szCs w:val="24"/>
          <w:highlight w:val="none"/>
        </w:rPr>
        <w:t>110%Ua</w:t>
      </w:r>
      <w:r>
        <w:rPr>
          <w:rFonts w:hint="eastAsia" w:ascii="宋体" w:hAnsi="宋体" w:eastAsia="宋体" w:cs="宋体"/>
          <w:sz w:val="24"/>
          <w:szCs w:val="24"/>
          <w:highlight w:val="none"/>
        </w:rPr>
        <w:t>时可靠合闸，</w:t>
      </w:r>
      <w:r>
        <w:rPr>
          <w:rFonts w:hint="eastAsia" w:ascii="宋体" w:hAnsi="宋体" w:eastAsia="宋体" w:cs="宋体"/>
          <w:bCs w:val="0"/>
          <w:sz w:val="24"/>
          <w:szCs w:val="24"/>
          <w:highlight w:val="none"/>
        </w:rPr>
        <w:t>65%</w:t>
      </w:r>
      <w:r>
        <w:rPr>
          <w:rFonts w:hint="eastAsia" w:ascii="宋体" w:hAnsi="宋体" w:eastAsia="宋体" w:cs="宋体"/>
          <w:sz w:val="24"/>
          <w:szCs w:val="24"/>
          <w:highlight w:val="none"/>
        </w:rPr>
        <w:t>〜</w:t>
      </w:r>
      <w:r>
        <w:rPr>
          <w:rFonts w:hint="eastAsia" w:ascii="宋体" w:hAnsi="宋体" w:eastAsia="宋体" w:cs="宋体"/>
          <w:bCs w:val="0"/>
          <w:sz w:val="24"/>
          <w:szCs w:val="24"/>
          <w:highlight w:val="none"/>
        </w:rPr>
        <w:t>110%</w:t>
      </w:r>
      <w:r>
        <w:rPr>
          <w:rFonts w:hint="eastAsia" w:ascii="宋体" w:hAnsi="宋体" w:eastAsia="宋体" w:cs="宋体"/>
          <w:sz w:val="24"/>
          <w:szCs w:val="24"/>
          <w:highlight w:val="none"/>
        </w:rPr>
        <w:t>可靠分闸，</w:t>
      </w:r>
      <w:r>
        <w:rPr>
          <w:rFonts w:hint="eastAsia" w:ascii="宋体" w:hAnsi="宋体" w:eastAsia="宋体" w:cs="宋体"/>
          <w:bCs w:val="0"/>
          <w:sz w:val="24"/>
          <w:szCs w:val="24"/>
          <w:highlight w:val="none"/>
        </w:rPr>
        <w:t>30%Ua</w:t>
      </w:r>
      <w:r>
        <w:rPr>
          <w:rFonts w:hint="eastAsia" w:ascii="宋体" w:hAnsi="宋体" w:eastAsia="宋体" w:cs="宋体"/>
          <w:sz w:val="24"/>
          <w:szCs w:val="24"/>
          <w:highlight w:val="none"/>
        </w:rPr>
        <w:t>时不动作。</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（f）弹簧储能系统：由储能弹簧进行分、合闸操作的弹簧操动机构能满足“分</w:t>
      </w:r>
      <w:r>
        <w:rPr>
          <w:rFonts w:hint="eastAsia" w:ascii="宋体" w:hAnsi="宋体" w:eastAsia="宋体" w:cs="宋体"/>
          <w:bCs w:val="0"/>
          <w:sz w:val="24"/>
          <w:szCs w:val="24"/>
          <w:highlight w:val="none"/>
        </w:rPr>
        <w:t>—0.3s—</w:t>
      </w:r>
      <w:r>
        <w:rPr>
          <w:rFonts w:hint="eastAsia" w:ascii="宋体" w:hAnsi="宋体" w:eastAsia="宋体" w:cs="宋体"/>
          <w:sz w:val="24"/>
          <w:szCs w:val="24"/>
          <w:highlight w:val="none"/>
        </w:rPr>
        <w:t>合分</w:t>
      </w:r>
      <w:r>
        <w:rPr>
          <w:rFonts w:hint="eastAsia" w:ascii="宋体" w:hAnsi="宋体" w:eastAsia="宋体" w:cs="宋体"/>
          <w:bCs w:val="0"/>
          <w:sz w:val="24"/>
          <w:szCs w:val="24"/>
          <w:highlight w:val="none"/>
        </w:rPr>
        <w:t>—180s—</w:t>
      </w:r>
      <w:r>
        <w:rPr>
          <w:rFonts w:hint="eastAsia" w:ascii="宋体" w:hAnsi="宋体" w:eastAsia="宋体" w:cs="宋体"/>
          <w:sz w:val="24"/>
          <w:szCs w:val="24"/>
          <w:highlight w:val="none"/>
        </w:rPr>
        <w:t>合分</w:t>
      </w:r>
      <w:r>
        <w:rPr>
          <w:rFonts w:hint="eastAsia" w:ascii="宋体" w:hAnsi="宋体" w:eastAsia="宋体" w:cs="宋体"/>
          <w:bCs w:val="0"/>
          <w:sz w:val="24"/>
          <w:szCs w:val="24"/>
          <w:highlight w:val="none"/>
        </w:rPr>
        <w:t>”</w:t>
      </w:r>
      <w:r>
        <w:rPr>
          <w:rFonts w:hint="eastAsia" w:ascii="宋体" w:hAnsi="宋体" w:eastAsia="宋体" w:cs="宋体"/>
          <w:sz w:val="24"/>
          <w:szCs w:val="24"/>
          <w:highlight w:val="none"/>
        </w:rPr>
        <w:t>的操作顺序。弹簧操动机构能可靠防止发生空合操作。弹簧储能可以电动和手动实现。</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（g）断路器处于断开或闭合位置，都能对合闸弹簧储能。</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（h）合闸操作的机械联锁保证机构处于合闸时，不能再进行合闸动作；而当断路器处于合闸位置和储能状态时，能可靠地进行一次分</w:t>
      </w:r>
      <w:r>
        <w:rPr>
          <w:rFonts w:hint="eastAsia" w:ascii="宋体" w:hAnsi="宋体" w:eastAsia="宋体" w:cs="宋体"/>
          <w:bCs w:val="0"/>
          <w:sz w:val="24"/>
          <w:szCs w:val="24"/>
          <w:highlight w:val="none"/>
        </w:rPr>
        <w:t>—0.3s—</w:t>
      </w:r>
      <w:r>
        <w:rPr>
          <w:rFonts w:hint="eastAsia" w:ascii="宋体" w:hAnsi="宋体" w:eastAsia="宋体" w:cs="宋体"/>
          <w:sz w:val="24"/>
          <w:szCs w:val="24"/>
          <w:highlight w:val="none"/>
        </w:rPr>
        <w:t>合分操作循环。</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（i）机械动作灵活，储能及手动或电气分、合闸等各项操作过程中不出现卡死</w:t>
      </w:r>
      <w:r>
        <w:rPr>
          <w:rFonts w:hint="eastAsia" w:ascii="宋体" w:hAnsi="宋体" w:eastAsia="宋体" w:cs="宋体"/>
          <w:bCs w:val="0"/>
          <w:sz w:val="24"/>
          <w:szCs w:val="24"/>
          <w:highlight w:val="none"/>
        </w:rPr>
        <w:t xml:space="preserve">, </w:t>
      </w:r>
      <w:r>
        <w:rPr>
          <w:rFonts w:hint="eastAsia" w:ascii="宋体" w:hAnsi="宋体" w:eastAsia="宋体" w:cs="宋体"/>
          <w:sz w:val="24"/>
          <w:szCs w:val="24"/>
          <w:highlight w:val="none"/>
        </w:rPr>
        <w:t>阻滞等异常现象，并设有防止</w:t>
      </w:r>
      <w:r>
        <w:rPr>
          <w:rFonts w:hint="eastAsia" w:ascii="宋体" w:hAnsi="宋体" w:eastAsia="宋体" w:cs="宋体"/>
          <w:bCs w:val="0"/>
          <w:sz w:val="24"/>
          <w:szCs w:val="24"/>
          <w:highlight w:val="none"/>
        </w:rPr>
        <w:t>“</w:t>
      </w:r>
      <w:r>
        <w:rPr>
          <w:rFonts w:hint="eastAsia" w:ascii="宋体" w:hAnsi="宋体" w:eastAsia="宋体" w:cs="宋体"/>
          <w:sz w:val="24"/>
          <w:szCs w:val="24"/>
          <w:highlight w:val="none"/>
        </w:rPr>
        <w:t>误操作</w:t>
      </w:r>
      <w:r>
        <w:rPr>
          <w:rFonts w:hint="eastAsia" w:ascii="宋体" w:hAnsi="宋体" w:eastAsia="宋体" w:cs="宋体"/>
          <w:bCs w:val="0"/>
          <w:sz w:val="24"/>
          <w:szCs w:val="24"/>
          <w:highlight w:val="none"/>
        </w:rPr>
        <w:t>”</w:t>
      </w:r>
      <w:r>
        <w:rPr>
          <w:rFonts w:hint="eastAsia" w:ascii="宋体" w:hAnsi="宋体" w:eastAsia="宋体" w:cs="宋体"/>
          <w:sz w:val="24"/>
          <w:szCs w:val="24"/>
          <w:highlight w:val="none"/>
        </w:rPr>
        <w:t>装置。</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（j）应有机械装置指示合闸弹簧的储能状态，并能实现远方监控。</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highlight w:val="none"/>
        </w:rPr>
        <w:t>（k）卖方应提供用于断路器分闸和合闸所有必需的中间继电器、闭锁继电器</w:t>
      </w:r>
      <w:r>
        <w:rPr>
          <w:rFonts w:hint="eastAsia" w:ascii="宋体" w:hAnsi="宋体" w:eastAsia="宋体" w:cs="宋体"/>
          <w:sz w:val="24"/>
          <w:szCs w:val="24"/>
        </w:rPr>
        <w:t>。</w:t>
      </w:r>
    </w:p>
    <w:p>
      <w:pPr>
        <w:pStyle w:val="7"/>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2.2.2.</w:t>
      </w:r>
      <w:r>
        <w:rPr>
          <w:rFonts w:hint="eastAsia" w:ascii="宋体" w:hAnsi="宋体" w:eastAsia="宋体" w:cs="宋体"/>
          <w:b w:val="0"/>
          <w:sz w:val="24"/>
          <w:szCs w:val="24"/>
          <w:lang w:val="en-US" w:eastAsia="zh-CN"/>
        </w:rPr>
        <w:t>3</w:t>
      </w:r>
      <w:r>
        <w:rPr>
          <w:rFonts w:hint="eastAsia" w:ascii="宋体" w:hAnsi="宋体" w:eastAsia="宋体" w:cs="宋体"/>
          <w:b w:val="0"/>
          <w:sz w:val="24"/>
          <w:szCs w:val="24"/>
        </w:rPr>
        <w:t xml:space="preserve"> 接地开关</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操动机构：可手动和电动（如有）操作，每组接地开关应装设一个机械式的分</w:t>
      </w:r>
      <w:r>
        <w:rPr>
          <w:rFonts w:hint="eastAsia" w:ascii="宋体" w:hAnsi="宋体" w:eastAsia="宋体" w:cs="宋体"/>
          <w:b/>
          <w:bCs w:val="0"/>
          <w:sz w:val="24"/>
          <w:szCs w:val="24"/>
        </w:rPr>
        <w:t>/</w:t>
      </w:r>
      <w:r>
        <w:rPr>
          <w:rFonts w:hint="eastAsia" w:ascii="宋体" w:hAnsi="宋体" w:eastAsia="宋体" w:cs="宋体"/>
          <w:sz w:val="24"/>
          <w:szCs w:val="24"/>
        </w:rPr>
        <w:t>合位置指示器；应装设观察窗，以便操作人员检查触头的位置。</w:t>
      </w:r>
    </w:p>
    <w:p>
      <w:pPr>
        <w:pStyle w:val="7"/>
        <w:spacing w:before="0" w:after="0" w:line="360" w:lineRule="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2.2.2.4 高压电压互感器</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（1）互感器应具有良好的密封性能，不允许有渗漏现象。</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（2）接地螺栓直径不得小于8mm，接地处金属表面平整，连接孔的接地板面积足够，并在接地处旁标有明显的接地符号。这些接地零件皆应有可靠的防锈镀层，或采用不锈钢材料。</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（3）二次出线端子螺杆直径不得小于6mm，应用铜或铜合金制成，二次出线端子板防湿性能良好。同时，二次出线端子应有防转动措施。</w:t>
      </w:r>
    </w:p>
    <w:p>
      <w:pPr>
        <w:pStyle w:val="7"/>
        <w:spacing w:before="0" w:after="0" w:line="360" w:lineRule="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2.2.2.5 高压电流互感器</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1）电流互感器应有直径不小于8mm的接地螺栓，或其它供接地线连接用的零件（例如面积足够且有连接孔的接地板），螺栓连接处或接地处应有平坦的金属表面，并且在其旁标有明显的接地符号。这些接地零件皆应有可靠的防锈镀层，或采用不锈钢材料。</w:t>
      </w:r>
    </w:p>
    <w:p>
      <w:pPr>
        <w:pStyle w:val="158"/>
        <w:spacing w:line="360" w:lineRule="auto"/>
        <w:ind w:firstLine="424" w:firstLineChars="177"/>
        <w:rPr>
          <w:rFonts w:hint="eastAsia" w:ascii="宋体" w:hAnsi="宋体" w:eastAsia="宋体" w:cs="宋体"/>
          <w:sz w:val="24"/>
          <w:szCs w:val="24"/>
          <w:highlight w:val="none"/>
        </w:rPr>
      </w:pPr>
      <w:r>
        <w:rPr>
          <w:rFonts w:hint="eastAsia" w:ascii="宋体" w:hAnsi="宋体" w:eastAsia="宋体" w:cs="宋体"/>
          <w:sz w:val="24"/>
          <w:szCs w:val="24"/>
          <w:highlight w:val="none"/>
        </w:rPr>
        <w:t>（2）出线端子要求：具有一次绕组的电流互感器，一次绕组应采用平板型出线端子并附有供连接线用的全套紧固零件。一次出线端子及紧固零件应有可靠的防锈镀层。电流互感器的二次出线端子螺杆直径不得小于6mm。二次出线端子（包括螺栓、螺母、垫圈等）应用铜或铜合金制成，并有可靠的防锈镀层。二次出线端子板防潮性能应良好。一、二次接线端子应有防松防转动措施。</w:t>
      </w:r>
    </w:p>
    <w:p>
      <w:pPr>
        <w:pStyle w:val="158"/>
        <w:spacing w:line="360" w:lineRule="auto"/>
        <w:ind w:firstLine="424" w:firstLineChars="177"/>
        <w:rPr>
          <w:rFonts w:hint="eastAsia" w:ascii="宋体" w:hAnsi="宋体" w:eastAsia="宋体" w:cs="宋体"/>
          <w:sz w:val="24"/>
          <w:szCs w:val="24"/>
        </w:rPr>
      </w:pPr>
    </w:p>
    <w:p>
      <w:pPr>
        <w:pStyle w:val="7"/>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2.2.2.</w:t>
      </w:r>
      <w:r>
        <w:rPr>
          <w:rFonts w:hint="eastAsia" w:ascii="宋体" w:hAnsi="宋体" w:eastAsia="宋体" w:cs="宋体"/>
          <w:b w:val="0"/>
          <w:sz w:val="24"/>
          <w:szCs w:val="24"/>
          <w:lang w:val="en-US" w:eastAsia="zh-CN"/>
        </w:rPr>
        <w:t>6</w:t>
      </w:r>
      <w:r>
        <w:rPr>
          <w:rFonts w:hint="eastAsia" w:ascii="宋体" w:hAnsi="宋体" w:eastAsia="宋体" w:cs="宋体"/>
          <w:b w:val="0"/>
          <w:sz w:val="24"/>
          <w:szCs w:val="24"/>
        </w:rPr>
        <w:t xml:space="preserve"> 汇流母线</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本工程高压室采用电缆进出线，断路器下口的汇流母线铜排要有足够的空间和容量，以便集电线路的安装接入，预装式变电站高压侧接线应按照能安装3回电缆的接入考虑，电缆头选用普通冷缩电缆头。</w:t>
      </w:r>
    </w:p>
    <w:p>
      <w:pPr>
        <w:pStyle w:val="7"/>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2.2.2.</w:t>
      </w:r>
      <w:r>
        <w:rPr>
          <w:rFonts w:hint="eastAsia" w:ascii="宋体" w:hAnsi="宋体" w:eastAsia="宋体" w:cs="宋体"/>
          <w:b w:val="0"/>
          <w:sz w:val="24"/>
          <w:szCs w:val="24"/>
          <w:lang w:val="en-US" w:eastAsia="zh-CN"/>
        </w:rPr>
        <w:t>7</w:t>
      </w:r>
      <w:r>
        <w:rPr>
          <w:rFonts w:hint="eastAsia" w:ascii="宋体" w:hAnsi="宋体" w:eastAsia="宋体" w:cs="宋体"/>
          <w:b w:val="0"/>
          <w:sz w:val="24"/>
          <w:szCs w:val="24"/>
        </w:rPr>
        <w:t xml:space="preserve"> 观察窗</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高压室安装观察窗，具体要求：</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1）观察窗至少应达到对外壳规定的防护等级；</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2）观察窗应使用机械强度与外壳相当的透明板，同时应有足够的电气间隙和静电屏蔽措施，防止危险的静电电荷；</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3）主回路的带电部分与观察窗的可触及表面的绝缘应满足相对地的绝缘要求。</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4）观察窗安装位置应该容易观察高压室内电气设备。</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5）避雷器放电计数器及在线监测装置安装位置应易于观察，并易于完成后期运行电压下的全电流检测试验。</w:t>
      </w:r>
    </w:p>
    <w:p>
      <w:pPr>
        <w:pStyle w:val="6"/>
        <w:spacing w:before="0" w:after="0" w:line="360" w:lineRule="auto"/>
        <w:rPr>
          <w:rFonts w:hint="eastAsia" w:ascii="宋体" w:hAnsi="宋体" w:eastAsia="宋体" w:cs="宋体"/>
          <w:b w:val="0"/>
          <w:sz w:val="24"/>
          <w:szCs w:val="24"/>
        </w:rPr>
      </w:pPr>
      <w:bookmarkStart w:id="164" w:name="_Toc520986931"/>
      <w:r>
        <w:rPr>
          <w:rFonts w:hint="eastAsia" w:ascii="宋体" w:hAnsi="宋体" w:eastAsia="宋体" w:cs="宋体"/>
          <w:b w:val="0"/>
          <w:sz w:val="24"/>
          <w:szCs w:val="24"/>
        </w:rPr>
        <w:t>2.2.3变压器</w:t>
      </w:r>
      <w:bookmarkEnd w:id="164"/>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（1）变压器应符合相关国家标准。尤其是《光伏预装式变电站技术规范》（NBT 10686-2021）的要求。</w:t>
      </w:r>
    </w:p>
    <w:p>
      <w:pPr>
        <w:pStyle w:val="158"/>
        <w:spacing w:line="360" w:lineRule="auto"/>
        <w:ind w:firstLine="424" w:firstLineChars="177"/>
        <w:rPr>
          <w:rFonts w:hint="eastAsia" w:ascii="宋体" w:hAnsi="宋体" w:eastAsia="宋体" w:cs="宋体"/>
          <w:sz w:val="24"/>
          <w:szCs w:val="24"/>
          <w:lang w:eastAsia="zh-CN"/>
        </w:rPr>
      </w:pPr>
      <w:r>
        <w:rPr>
          <w:rFonts w:hint="eastAsia" w:ascii="宋体" w:hAnsi="宋体" w:eastAsia="宋体" w:cs="宋体"/>
          <w:sz w:val="24"/>
          <w:szCs w:val="24"/>
        </w:rPr>
        <w:t>（2）变压器选用1</w:t>
      </w:r>
      <w:r>
        <w:rPr>
          <w:rFonts w:hint="eastAsia" w:ascii="宋体" w:hAnsi="宋体" w:eastAsia="宋体" w:cs="宋体"/>
          <w:sz w:val="24"/>
          <w:szCs w:val="24"/>
          <w:lang w:val="en-US" w:eastAsia="zh-CN"/>
        </w:rPr>
        <w:t>3</w:t>
      </w:r>
      <w:r>
        <w:rPr>
          <w:rFonts w:hint="eastAsia" w:ascii="宋体" w:hAnsi="宋体" w:eastAsia="宋体" w:cs="宋体"/>
          <w:sz w:val="24"/>
          <w:szCs w:val="24"/>
        </w:rPr>
        <w:t>型，损耗偏差按JB/T 3837标准执行。空载损耗、负载损耗满足 GB20052-2020《电力变压器能效限定值及能效等级》三级要求</w:t>
      </w:r>
      <w:r>
        <w:rPr>
          <w:rFonts w:hint="eastAsia" w:ascii="宋体" w:hAnsi="宋体" w:eastAsia="宋体" w:cs="宋体"/>
          <w:sz w:val="24"/>
          <w:szCs w:val="24"/>
          <w:lang w:eastAsia="zh-CN"/>
        </w:rPr>
        <w:t>。</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（3）铁芯和外壳间牢固固定，铁芯应采用高质量、低损耗的晶粒取向冷轧硅钢片，整个铁芯采用无绑扎结构，铁芯组件均衡严紧，不应由于运输和运行中的振动而松动。</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4）全部绕组应采用优质铜材，同一电压等级的绕组采用同一厂家、同一批次的铜导线，线圈采用整体套装工艺和恒压干燥工艺。严禁使用铝等其他材料代用。所有线圈电抗值应一致，安匝分布均匀。绕组应有良好的冲击电压波分布，不宜采用加避雷器方式限制过电压；使用场强应严格控制，确保绕组内不发生局部放电；应对绕组漏磁通进行控制，避免在绕组和其它金属构件上产生局部过热。变压器线圈上的垫块采用环氧树脂制成。</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（5）绕组应适度加固，引线应充分紧固，器身形成坚固的整体，使其具有足够耐受短路的强度。在运输时和在运行中不发生相对位移。</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（6）绕组内部应避免局部过热。</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（7）变压器应配备绕组测温装置，该装置具备就地显示温度及4—20mA远传功能；当温度超高时，测温装置可通过跳闸接点跳开跳低压断路器。</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（8）干式变压器的燃烧性能等级应不低于 GB1094.11-2007《干式电力变压器》中的 F1。</w:t>
      </w:r>
    </w:p>
    <w:p>
      <w:pPr>
        <w:pStyle w:val="6"/>
        <w:spacing w:before="0" w:after="0" w:line="360" w:lineRule="auto"/>
        <w:rPr>
          <w:rFonts w:hint="eastAsia" w:ascii="宋体" w:hAnsi="宋体" w:eastAsia="宋体" w:cs="宋体"/>
          <w:b w:val="0"/>
          <w:sz w:val="24"/>
          <w:szCs w:val="24"/>
        </w:rPr>
      </w:pPr>
      <w:bookmarkStart w:id="165" w:name="_Toc520986932"/>
      <w:r>
        <w:rPr>
          <w:rFonts w:hint="eastAsia" w:ascii="宋体" w:hAnsi="宋体" w:eastAsia="宋体" w:cs="宋体"/>
          <w:b w:val="0"/>
          <w:sz w:val="24"/>
          <w:szCs w:val="24"/>
        </w:rPr>
        <w:t>2.2.4低压部分</w:t>
      </w:r>
      <w:bookmarkEnd w:id="165"/>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val="en-US" w:eastAsia="zh-CN"/>
        </w:rPr>
        <w:t>8</w:t>
      </w:r>
      <w:r>
        <w:rPr>
          <w:rFonts w:hint="eastAsia" w:ascii="宋体" w:hAnsi="宋体" w:eastAsia="宋体" w:cs="宋体"/>
          <w:sz w:val="24"/>
          <w:szCs w:val="24"/>
        </w:rPr>
        <w:t>kV具体出线回路及开关额定电流请参阅招标提供的图纸，要求低压出线位置有绝缘隔离挡板。低压配电装置的连线均应有明显的相别标记。</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（2）为保证安全运行，在预装式变电站门打开后，低压室带电部分必须有绝缘隔离，建议厂家在低压室门框面对低压出线部分设可移动的绝缘挡板，以便于施工。</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（3）具备缺相保护功能，在变压器缺相运行时跳开断路器。</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（4）低压断路器预留远方控制接口，并配置相应的转换开关，同时转换开关位置需上传至远方。</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（5）断路器智能脱扣器使用的电源形式：取自箱变交流电源。</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（6）低压接线采用铜母排，设计应充分考虑以上电缆进线的安装位置，并设有电缆安装固定支架。母排布置要求连接可靠安装方便，保证安全距离。</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（7）低压室门锁拉杆材料选用应有足够强度。二次布线要合理、规范、牢固。柜内应采用防凝露措施。</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（8）低压侧应配置若干个微型断路器供箱变使用。</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（9）低压侧应配置浪涌保护器/低压避雷器。</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（10）低压侧厂家应配备干式变，内置5只小型断路器、4只插座，馈线及插座回路电流及数量应满足工程需求，此部分由厂家设计。</w:t>
      </w:r>
    </w:p>
    <w:p>
      <w:pPr>
        <w:pStyle w:val="6"/>
        <w:spacing w:before="0" w:after="0" w:line="360" w:lineRule="auto"/>
        <w:rPr>
          <w:rFonts w:hint="eastAsia" w:ascii="宋体" w:hAnsi="宋体" w:eastAsia="宋体" w:cs="宋体"/>
          <w:b w:val="0"/>
          <w:sz w:val="24"/>
          <w:szCs w:val="24"/>
        </w:rPr>
      </w:pPr>
      <w:bookmarkStart w:id="166" w:name="_Toc520986933"/>
      <w:r>
        <w:rPr>
          <w:rFonts w:hint="eastAsia" w:ascii="宋体" w:hAnsi="宋体" w:eastAsia="宋体" w:cs="宋体"/>
          <w:b w:val="0"/>
          <w:sz w:val="24"/>
          <w:szCs w:val="24"/>
        </w:rPr>
        <w:t>2.2.5接线</w:t>
      </w:r>
      <w:bookmarkEnd w:id="166"/>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预装式变电站室内所有用于导电的母排均应采用优质铜母线。以确保当变压器输出端发生出口短路时，能保持动、热稳定而无损坏。</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（1）预装式变电站按照其结构型式的要求制造，进出箱体的电缆有防护和固定措施。所有电缆进出口都应采取密封措施，需保证雨、雪、灰尘、盐雾不会从大门及电缆孔处进入预装式变电站内部。</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（2）预装式变电站高压侧接线按安装3回电缆的接入考虑，高压侧接线端子为铝排，接线排为铜排，应能满足电缆接入需求，高压侧电缆采用</w:t>
      </w:r>
      <w:r>
        <w:rPr>
          <w:rFonts w:hint="eastAsia" w:ascii="宋体" w:hAnsi="宋体" w:eastAsia="宋体" w:cs="宋体"/>
          <w:sz w:val="24"/>
          <w:szCs w:val="24"/>
          <w:lang w:val="en-US" w:eastAsia="zh-CN"/>
        </w:rPr>
        <w:t>3</w:t>
      </w:r>
      <w:r>
        <w:rPr>
          <w:rFonts w:hint="eastAsia" w:ascii="宋体" w:hAnsi="宋体" w:eastAsia="宋体" w:cs="宋体"/>
          <w:sz w:val="24"/>
          <w:szCs w:val="24"/>
        </w:rPr>
        <w:t>根ZR-YJ</w:t>
      </w:r>
      <w:r>
        <w:rPr>
          <w:rFonts w:hint="eastAsia" w:ascii="宋体" w:hAnsi="宋体" w:eastAsia="宋体" w:cs="宋体"/>
          <w:sz w:val="24"/>
          <w:szCs w:val="24"/>
          <w:lang w:val="en-US" w:eastAsia="zh-CN"/>
        </w:rPr>
        <w:t>LY</w:t>
      </w:r>
      <w:r>
        <w:rPr>
          <w:rFonts w:hint="eastAsia" w:ascii="宋体" w:hAnsi="宋体" w:eastAsia="宋体" w:cs="宋体"/>
          <w:sz w:val="24"/>
          <w:szCs w:val="24"/>
        </w:rPr>
        <w:t>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8.7</w:t>
      </w: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5-3×</w:t>
      </w:r>
      <w:r>
        <w:rPr>
          <w:rFonts w:hint="eastAsia" w:ascii="宋体" w:hAnsi="宋体" w:eastAsia="宋体" w:cs="宋体"/>
          <w:sz w:val="24"/>
          <w:szCs w:val="24"/>
          <w:lang w:val="en-US" w:eastAsia="zh-CN"/>
        </w:rPr>
        <w:t>400</w:t>
      </w:r>
      <w:r>
        <w:rPr>
          <w:rFonts w:hint="eastAsia" w:ascii="宋体" w:hAnsi="宋体" w:eastAsia="宋体" w:cs="宋体"/>
          <w:sz w:val="24"/>
          <w:szCs w:val="24"/>
        </w:rPr>
        <w:t>mm</w:t>
      </w:r>
      <w:r>
        <w:rPr>
          <w:rFonts w:hint="eastAsia" w:ascii="宋体" w:hAnsi="宋体" w:eastAsia="宋体" w:cs="宋体"/>
          <w:position w:val="-4"/>
          <w:sz w:val="24"/>
          <w:szCs w:val="24"/>
        </w:rPr>
        <w:object>
          <v:shape id="_x0000_i1026" o:spt="75" type="#_x0000_t75" style="height:15pt;width:7.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eastAsia" w:ascii="宋体" w:hAnsi="宋体" w:eastAsia="宋体" w:cs="宋体"/>
          <w:sz w:val="24"/>
          <w:szCs w:val="24"/>
        </w:rPr>
        <w:t>的电缆接入，电缆型号以最终确认图纸为准；预装式变电站低压按</w:t>
      </w:r>
      <w:r>
        <w:rPr>
          <w:rFonts w:hint="eastAsia" w:cs="宋体"/>
          <w:sz w:val="24"/>
          <w:szCs w:val="24"/>
          <w:lang w:val="en-US" w:eastAsia="zh-CN"/>
        </w:rPr>
        <w:t>8-11</w:t>
      </w:r>
      <w:r>
        <w:rPr>
          <w:rFonts w:hint="eastAsia" w:ascii="宋体" w:hAnsi="宋体" w:eastAsia="宋体" w:cs="宋体"/>
          <w:sz w:val="24"/>
          <w:szCs w:val="24"/>
        </w:rPr>
        <w:t>根ZR-YJ</w:t>
      </w:r>
      <w:r>
        <w:rPr>
          <w:rFonts w:hint="eastAsia" w:ascii="宋体" w:hAnsi="宋体" w:eastAsia="宋体" w:cs="宋体"/>
          <w:sz w:val="24"/>
          <w:szCs w:val="24"/>
          <w:lang w:val="en-US" w:eastAsia="zh-CN"/>
        </w:rPr>
        <w:t>LY</w:t>
      </w:r>
      <w:r>
        <w:rPr>
          <w:rFonts w:hint="eastAsia" w:ascii="宋体" w:hAnsi="宋体" w:eastAsia="宋体" w:cs="宋体"/>
          <w:sz w:val="24"/>
          <w:szCs w:val="24"/>
        </w:rPr>
        <w:t>2</w:t>
      </w: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1.8</w:t>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kV-3×</w:t>
      </w:r>
      <w:r>
        <w:rPr>
          <w:rFonts w:hint="eastAsia" w:cs="宋体"/>
          <w:sz w:val="24"/>
          <w:szCs w:val="24"/>
          <w:lang w:val="en-US" w:eastAsia="zh-CN"/>
        </w:rPr>
        <w:t>300/</w:t>
      </w:r>
      <w:r>
        <w:rPr>
          <w:rFonts w:hint="eastAsia" w:ascii="宋体" w:hAnsi="宋体" w:eastAsia="宋体" w:cs="宋体"/>
          <w:sz w:val="24"/>
          <w:szCs w:val="24"/>
          <w:lang w:val="en-US" w:eastAsia="zh-CN"/>
        </w:rPr>
        <w:t>400</w:t>
      </w:r>
      <w:r>
        <w:rPr>
          <w:rFonts w:hint="eastAsia" w:ascii="宋体" w:hAnsi="宋体" w:eastAsia="宋体" w:cs="宋体"/>
          <w:sz w:val="24"/>
          <w:szCs w:val="24"/>
        </w:rPr>
        <w:t>mm</w:t>
      </w:r>
      <w:r>
        <w:rPr>
          <w:rFonts w:hint="eastAsia" w:ascii="宋体" w:hAnsi="宋体" w:eastAsia="宋体" w:cs="宋体"/>
          <w:sz w:val="24"/>
          <w:szCs w:val="24"/>
          <w:vertAlign w:val="superscript"/>
        </w:rPr>
        <w:t>2</w:t>
      </w:r>
      <w:r>
        <w:rPr>
          <w:rFonts w:hint="eastAsia" w:ascii="宋体" w:hAnsi="宋体" w:eastAsia="宋体" w:cs="宋体"/>
          <w:sz w:val="24"/>
          <w:szCs w:val="24"/>
        </w:rPr>
        <w:t>的电缆接入考虑（最终确认图纸为准）。预装式变电站高压室及低压室内应留有足够的空间用于安装多根电缆，并保证后续电缆安装不交叉。同相电缆头之间净距、不同相电缆接线端子之间的相间净距均需满足标准。预装式变电站底部安装足够的电缆紧固件满足本期电缆接入需求。</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设备应配备接线端子，其尺寸应以满足回路的额定电流及联接要求，并应提供铜质螺栓、螺帽及防松垫圈。接线端子的材质为铜质。设备的接地端子应是螺栓式，适合于连接。接地母排应为铜质，其截面应与可能流过的短路电流相适应。</w:t>
      </w:r>
    </w:p>
    <w:p>
      <w:pPr>
        <w:pStyle w:val="6"/>
        <w:spacing w:before="0" w:after="0" w:line="360" w:lineRule="auto"/>
        <w:rPr>
          <w:rFonts w:hint="eastAsia" w:ascii="宋体" w:hAnsi="宋体" w:eastAsia="宋体" w:cs="宋体"/>
          <w:b w:val="0"/>
          <w:sz w:val="24"/>
          <w:szCs w:val="24"/>
        </w:rPr>
      </w:pPr>
      <w:bookmarkStart w:id="167" w:name="_Toc520986934"/>
      <w:r>
        <w:rPr>
          <w:rFonts w:hint="eastAsia" w:ascii="宋体" w:hAnsi="宋体" w:eastAsia="宋体" w:cs="宋体"/>
          <w:b w:val="0"/>
          <w:sz w:val="24"/>
          <w:szCs w:val="24"/>
        </w:rPr>
        <w:t>2.2.6 接地</w:t>
      </w:r>
      <w:bookmarkEnd w:id="167"/>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（1）预装式变电站中主接地点应有明显的接地标志。箱体中应设有不少于2个与接地系统相连的端子。应有明显的接地标志，接地端子用铜质螺栓直径不小于12mm。</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（2）需要接地的高低压电器元件及金属部件等均应有效接地。接地母排应为铜质，其截面应与可能流过的短路电流相适应，最小截面不小于100mm</w:t>
      </w:r>
      <w:r>
        <w:rPr>
          <w:rFonts w:hint="eastAsia" w:ascii="宋体" w:hAnsi="宋体" w:eastAsia="宋体" w:cs="宋体"/>
          <w:sz w:val="24"/>
          <w:szCs w:val="24"/>
          <w:vertAlign w:val="superscript"/>
        </w:rPr>
        <w:t>2</w:t>
      </w:r>
      <w:r>
        <w:rPr>
          <w:rFonts w:hint="eastAsia" w:ascii="宋体" w:hAnsi="宋体" w:eastAsia="宋体" w:cs="宋体"/>
          <w:sz w:val="24"/>
          <w:szCs w:val="24"/>
        </w:rPr>
        <w:t>。</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w:t>
      </w:r>
      <w:r>
        <w:rPr>
          <w:rFonts w:hint="eastAsia" w:cs="宋体"/>
          <w:sz w:val="24"/>
          <w:szCs w:val="24"/>
          <w:lang w:eastAsia="zh-CN"/>
        </w:rPr>
        <w:t>10kV</w:t>
      </w:r>
      <w:r>
        <w:rPr>
          <w:rFonts w:hint="eastAsia" w:ascii="宋体" w:hAnsi="宋体" w:eastAsia="宋体" w:cs="宋体"/>
          <w:sz w:val="24"/>
          <w:szCs w:val="24"/>
        </w:rPr>
        <w:t>避雷器、变压器中性点及箱变外壳采用一点接地方式，箱变外部应预留两个接地端子与接地网相连。</w:t>
      </w:r>
    </w:p>
    <w:p>
      <w:pPr>
        <w:pStyle w:val="6"/>
        <w:spacing w:before="0" w:after="0" w:line="360" w:lineRule="auto"/>
        <w:rPr>
          <w:rFonts w:hint="eastAsia" w:ascii="宋体" w:hAnsi="宋体" w:eastAsia="宋体" w:cs="宋体"/>
          <w:b w:val="0"/>
          <w:sz w:val="24"/>
          <w:szCs w:val="24"/>
        </w:rPr>
      </w:pPr>
      <w:bookmarkStart w:id="168" w:name="_Toc520986935"/>
      <w:r>
        <w:rPr>
          <w:rFonts w:hint="eastAsia" w:ascii="宋体" w:hAnsi="宋体" w:eastAsia="宋体" w:cs="宋体"/>
          <w:b w:val="0"/>
          <w:sz w:val="24"/>
          <w:szCs w:val="24"/>
        </w:rPr>
        <w:t>2.2.7 其他要求</w:t>
      </w:r>
      <w:bookmarkEnd w:id="168"/>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（1）预装式变电站防护等级：高低压室防护等级达到IP54。且应考虑变压器负荷高时，防护等级和防尘结构，防止雨、雪、灰尘等不会进入箱体内。</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防腐、防锈及防潮：要充分考虑预装式变电站放置室外，需要耐盐雾、耐腐蚀，预装式变电站所有门轴采用钢材料制作。箱体基座和所有外露金属件均应进行防腐、防锈处理，并喷涂耐久的防护层。箱体的内壁和隔板可采用金属或非金属材料，如采用金属材料,亦应进行防锈处理和喷涂防护层。金属材料经防腐处理后表面覆盖涂层应有牢固的附着力，并均匀一致。应确保预装式变电站的外壳及内部结构件30年不生锈。有完善的预装式变电站的防腐工艺、方法，出厂时每台产品均应有防腐工艺报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（3）根据地区的气象特点，综合考虑防雷保护元件及设备，满足防雷安全要求，并提交防雷保护元件的试验报告。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（4）耐地震要求：设备及设备支座必须按承受地震荷载时能保持结构完整来设计。</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（5）预装式变电站应能承受因外部短路故障而引起的冲击力，以防对电气设备和人员造成伤害，并提供预装式变电站同类产品承受短路能力的试验报告。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6）强度和刚度：箱体外壳应有足够的机械强度和刚度,在起吊、运输和安装、地震、运行时短路所引起的电动力不应变形或损坏；设计的外壳形状应不易积尘、积水；尽量少用外露紧固件，以免螺钉穿通外壳使水导入壳内；对穿通外壳的孔，均应采取相应的密封措施；外壳的盖和座若采用铰链联结，为满足防护密封条的安装，制成明铰链。外壳应耐盐雾、防水、防震、防腐、防尘、防电燃。金属构件应有防锈处理和喷涂防护层；</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7）预装式变电站高低压侧带电间隔均应安装在隔室内，采用自然通风方式，箱体设有足够的自然通风口和隔热措施，以保证在合同文件规定的环境温度下运行时，所有的电器设备温升不超过其最高允许温升，所有的电器设备的温度不超过其最大允许温度。</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（8）预装式变电站在使用寿命期内，用户按正常条件使用产品，产品不会因温度变化导致设备出现损伤。</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（9）产品阻燃性好，绝缘材料具有自动熄火的特性，遇到火源时不产生有害气体。</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（10）所有的元件应符合各自相应的标准，以合资产品或同级别国产名优产品为主，其中：</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――变压器,应符合GB1094；</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――高压开关设备和控制设备,应符合GB3906；</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――低压开关设备和控制设备,应符合GB/T14048系列标准；</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箱式变变压器高压部分电气元件配置及参数选择要求能够可靠地保护</w:t>
      </w:r>
      <w:r>
        <w:rPr>
          <w:rFonts w:hint="eastAsia" w:cs="宋体"/>
          <w:sz w:val="24"/>
          <w:szCs w:val="24"/>
          <w:lang w:eastAsia="zh-CN"/>
        </w:rPr>
        <w:t>10kV</w:t>
      </w:r>
      <w:r>
        <w:rPr>
          <w:rFonts w:hint="eastAsia" w:ascii="宋体" w:hAnsi="宋体" w:eastAsia="宋体" w:cs="宋体"/>
          <w:sz w:val="24"/>
          <w:szCs w:val="24"/>
        </w:rPr>
        <w:t>干式变压器，开关分合操作不因截流等现象而产生过电压。</w:t>
      </w:r>
    </w:p>
    <w:bookmarkEnd w:id="161"/>
    <w:p>
      <w:pPr>
        <w:pStyle w:val="6"/>
        <w:spacing w:before="0" w:after="0" w:line="360" w:lineRule="auto"/>
        <w:rPr>
          <w:rFonts w:hint="eastAsia" w:ascii="宋体" w:hAnsi="宋体" w:eastAsia="宋体" w:cs="宋体"/>
          <w:b w:val="0"/>
          <w:sz w:val="24"/>
          <w:szCs w:val="24"/>
        </w:rPr>
      </w:pPr>
      <w:bookmarkStart w:id="169" w:name="_Toc520986936"/>
      <w:bookmarkStart w:id="170" w:name="_Toc165125336"/>
      <w:bookmarkStart w:id="171" w:name="_Toc156016650"/>
      <w:bookmarkStart w:id="172" w:name="_Toc252017588"/>
      <w:bookmarkStart w:id="173" w:name="_Toc374104364"/>
      <w:bookmarkStart w:id="174" w:name="_Toc520986938"/>
      <w:r>
        <w:rPr>
          <w:rFonts w:hint="eastAsia" w:ascii="宋体" w:hAnsi="宋体" w:eastAsia="宋体" w:cs="宋体"/>
          <w:b w:val="0"/>
          <w:sz w:val="24"/>
          <w:szCs w:val="24"/>
        </w:rPr>
        <w:t>2.2.8 高压/低压预装式变电站监控与保护</w:t>
      </w:r>
      <w:bookmarkEnd w:id="169"/>
    </w:p>
    <w:p>
      <w:pPr>
        <w:pStyle w:val="7"/>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2.2.8.1 高压/低压预装式变电站监控独立组网(通过箱变环网交换机接入开关站</w:t>
      </w:r>
      <w:r>
        <w:rPr>
          <w:rFonts w:hint="eastAsia" w:ascii="宋体" w:hAnsi="宋体" w:eastAsia="宋体" w:cs="宋体"/>
          <w:sz w:val="24"/>
        </w:rPr>
        <w:t>综自</w:t>
      </w:r>
      <w:r>
        <w:rPr>
          <w:rFonts w:hint="eastAsia" w:ascii="宋体" w:hAnsi="宋体" w:eastAsia="宋体" w:cs="宋体"/>
          <w:b w:val="0"/>
          <w:sz w:val="24"/>
          <w:szCs w:val="24"/>
        </w:rPr>
        <w:t>后台)</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箱变二次设备应能在箱变安装及运行环境中正常工作。</w:t>
      </w:r>
    </w:p>
    <w:p>
      <w:pPr>
        <w:adjustRightInd w:val="0"/>
        <w:spacing w:line="360" w:lineRule="auto"/>
        <w:ind w:firstLine="480" w:firstLineChars="200"/>
        <w:jc w:val="left"/>
        <w:textAlignment w:val="baseline"/>
        <w:rPr>
          <w:sz w:val="24"/>
          <w:szCs w:val="24"/>
          <w:highlight w:val="none"/>
        </w:rPr>
      </w:pPr>
      <w:r>
        <w:rPr>
          <w:sz w:val="24"/>
          <w:szCs w:val="24"/>
          <w:highlight w:val="none"/>
        </w:rPr>
        <w:t>（1）保护配置</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变压器保护采用微机型测控一体化装置，但保护采用独立回路。具有完善的主、后备保护功能和本体保护，主要配置如下：</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1）主保护：电流速断保护，保护动作跳开变压器高低压侧开关。</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2）后备保护：过电流保护带延时跳开变压器高低压侧开关；过电压保护带延时跳开变压器高低压侧开关；过负荷保护发报警信号。</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3）非电量保护：温度高发报警信号、温度超高动作跳开变压器高低压侧断路器。</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4）所有保护动作及报警信号均应以I/O接点送至测控装置。保护出口继电器要有自保持、手动复归和远方复归的功能。</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w:t>
      </w:r>
      <w:r>
        <w:rPr>
          <w:rFonts w:hint="eastAsia" w:cs="宋体"/>
          <w:sz w:val="24"/>
          <w:szCs w:val="24"/>
          <w:lang w:val="en-US" w:eastAsia="zh-CN"/>
        </w:rPr>
        <w:t>2</w:t>
      </w:r>
      <w:r>
        <w:rPr>
          <w:rFonts w:hint="eastAsia" w:ascii="宋体" w:hAnsi="宋体" w:eastAsia="宋体" w:cs="宋体"/>
          <w:sz w:val="24"/>
          <w:szCs w:val="24"/>
        </w:rPr>
        <w:t>）监控配置</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a．监控系统结构</w:t>
      </w:r>
    </w:p>
    <w:p>
      <w:pPr>
        <w:adjustRightInd w:val="0"/>
        <w:spacing w:line="360" w:lineRule="auto"/>
        <w:ind w:firstLine="480" w:firstLineChars="200"/>
        <w:jc w:val="left"/>
        <w:textAlignment w:val="baseline"/>
        <w:rPr>
          <w:rFonts w:hint="eastAsia" w:ascii="宋体" w:hAnsi="宋体" w:eastAsia="宋体" w:cs="宋体"/>
          <w:sz w:val="24"/>
        </w:rPr>
      </w:pPr>
      <w:r>
        <w:rPr>
          <w:rFonts w:hint="eastAsia" w:ascii="宋体" w:hAnsi="宋体" w:eastAsia="宋体" w:cs="宋体"/>
          <w:sz w:val="24"/>
          <w:szCs w:val="24"/>
        </w:rPr>
        <w:t>监控系统采用开放式分层分布结构，由集控层、子控层以及网络设备构成</w:t>
      </w:r>
      <w:r>
        <w:rPr>
          <w:rFonts w:hint="eastAsia" w:ascii="宋体" w:hAnsi="宋体" w:eastAsia="宋体" w:cs="宋体"/>
          <w:sz w:val="24"/>
        </w:rPr>
        <w:t>。集控层设备按</w:t>
      </w:r>
      <w:r>
        <w:rPr>
          <w:rFonts w:hint="eastAsia" w:ascii="宋体" w:hAnsi="宋体" w:eastAsia="宋体" w:cs="宋体"/>
          <w:sz w:val="24"/>
          <w:lang w:val="en-US" w:eastAsia="zh-CN"/>
        </w:rPr>
        <w:t>光伏</w:t>
      </w:r>
      <w:r>
        <w:rPr>
          <w:rFonts w:hint="eastAsia" w:ascii="宋体" w:hAnsi="宋体" w:eastAsia="宋体" w:cs="宋体"/>
          <w:sz w:val="24"/>
        </w:rPr>
        <w:t>远景规模配置，子控层设备按本期工程实际建设规模配置。集控层设备组屏布置在变电站的继电保护室内，子控层设备分别布置在相应的箱变内。箱变监控系统各测控单元内置环网交换机，根据</w:t>
      </w:r>
      <w:r>
        <w:rPr>
          <w:rFonts w:hint="eastAsia" w:ascii="宋体" w:hAnsi="宋体" w:eastAsia="宋体" w:cs="宋体"/>
          <w:sz w:val="24"/>
          <w:lang w:val="en-US" w:eastAsia="zh-CN"/>
        </w:rPr>
        <w:t>逆变器</w:t>
      </w:r>
      <w:r>
        <w:rPr>
          <w:rFonts w:hint="eastAsia" w:ascii="宋体" w:hAnsi="宋体" w:eastAsia="宋体" w:cs="宋体"/>
          <w:sz w:val="24"/>
        </w:rPr>
        <w:t>组网情况，行成1个独立环网，并与</w:t>
      </w:r>
      <w:r>
        <w:rPr>
          <w:rFonts w:hint="eastAsia" w:ascii="宋体" w:hAnsi="宋体" w:eastAsia="宋体" w:cs="宋体"/>
          <w:sz w:val="24"/>
          <w:lang w:val="en-US" w:eastAsia="zh-CN"/>
        </w:rPr>
        <w:t>逆变器</w:t>
      </w:r>
      <w:r>
        <w:rPr>
          <w:rFonts w:hint="eastAsia" w:ascii="宋体" w:hAnsi="宋体" w:eastAsia="宋体" w:cs="宋体"/>
          <w:sz w:val="24"/>
        </w:rPr>
        <w:t>监控采用同缆不同芯方式共用光纤传输介质，光纤接口采用单模接口，便于现场安装，具有标准的IEC103/104和MODBUS-TCP三种通讯规约，可方便地与各厂家的开关站综自系统接入。</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c．子控层设备及功能</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子控层设备包括：测控装置、光纤终端盒等。</w:t>
      </w:r>
    </w:p>
    <w:p>
      <w:pPr>
        <w:adjustRightInd w:val="0"/>
        <w:spacing w:line="360" w:lineRule="auto"/>
        <w:ind w:firstLine="480" w:firstLineChars="200"/>
        <w:jc w:val="left"/>
        <w:textAlignment w:val="baseline"/>
        <w:rPr>
          <w:rFonts w:hint="eastAsia" w:ascii="宋体" w:hAnsi="宋体" w:eastAsia="宋体" w:cs="宋体"/>
          <w:sz w:val="24"/>
        </w:rPr>
      </w:pPr>
      <w:r>
        <w:rPr>
          <w:rFonts w:hint="eastAsia" w:ascii="宋体" w:hAnsi="宋体" w:eastAsia="宋体" w:cs="宋体"/>
          <w:sz w:val="24"/>
          <w:szCs w:val="24"/>
        </w:rPr>
        <w:t>每个现地测控装置实时采集对应箱变的开关量、模拟量信息，并将信息通过光纤环网上送至箱变集中监控系统。测量信息应包括变压器高低压侧开关的位置信号、变压器报警信号、变压器保护动作信号、变压器温度信号、三相电流信号、三相电压信号等。</w:t>
      </w:r>
      <w:r>
        <w:rPr>
          <w:rFonts w:hint="eastAsia" w:ascii="宋体" w:hAnsi="宋体" w:eastAsia="宋体" w:cs="宋体"/>
          <w:sz w:val="24"/>
        </w:rPr>
        <w:t>每个现地测控装置实时采集对应箱变的开关量、模拟量信息，并将信息通过光纤环网上送至开关站综自后台系统。</w:t>
      </w:r>
    </w:p>
    <w:p>
      <w:pPr>
        <w:adjustRightInd w:val="0"/>
        <w:spacing w:line="360" w:lineRule="auto"/>
        <w:ind w:firstLine="480" w:firstLineChars="200"/>
        <w:jc w:val="left"/>
        <w:textAlignment w:val="baseline"/>
        <w:rPr>
          <w:rFonts w:hint="eastAsia" w:ascii="宋体" w:hAnsi="宋体" w:eastAsia="宋体" w:cs="宋体"/>
          <w:sz w:val="24"/>
          <w:szCs w:val="24"/>
        </w:rPr>
      </w:pPr>
      <w:r>
        <w:rPr>
          <w:rFonts w:hint="eastAsia" w:ascii="宋体" w:hAnsi="宋体" w:eastAsia="宋体" w:cs="宋体"/>
          <w:sz w:val="24"/>
          <w:szCs w:val="24"/>
        </w:rPr>
        <w:t>每台箱变的低压开关柜内设置一台国产优质的箱变测控装置和相应的光纤连接设备，以便采集箱变内的各种电气量参数和非电气量参数以及控制箱变内各断路器，以满足综合自动化系统的测控要求。投标方负责协助招标方完成监控单元及后台监控功能的安装、调试及验收，确保满足综自系统对设备的测控要求。测量信息详见专用部分箱变测控信息点量表描述：测控单元应配置开关量输入点（DI）24个，开关量输出点（DO）8个，交流采样输入点12个，直流采样输入点4个。详见下表。主要功能：</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装置至少具有</w:t>
      </w:r>
      <w:r>
        <w:rPr>
          <w:rFonts w:hint="eastAsia" w:ascii="宋体" w:hAnsi="宋体" w:eastAsia="宋体" w:cs="宋体"/>
          <w:sz w:val="24"/>
          <w:lang w:val="en-US" w:eastAsia="zh-CN"/>
        </w:rPr>
        <w:t>32</w:t>
      </w:r>
      <w:r>
        <w:rPr>
          <w:rFonts w:hint="eastAsia" w:ascii="宋体" w:hAnsi="宋体" w:eastAsia="宋体" w:cs="宋体"/>
          <w:sz w:val="24"/>
        </w:rPr>
        <w:t>路遥信开入；</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装置至少具有6路继电器输出，</w:t>
      </w:r>
      <w:r>
        <w:rPr>
          <w:rFonts w:hint="eastAsia" w:ascii="宋体" w:hAnsi="宋体" w:eastAsia="宋体" w:cs="宋体"/>
          <w:kern w:val="0"/>
          <w:sz w:val="24"/>
        </w:rPr>
        <w:t>可拓展为8路出口，</w:t>
      </w:r>
      <w:r>
        <w:rPr>
          <w:rFonts w:hint="eastAsia" w:ascii="宋体" w:hAnsi="宋体" w:eastAsia="宋体" w:cs="宋体"/>
          <w:sz w:val="24"/>
        </w:rPr>
        <w:t>且每一路出口支持液晶显示插件进行现场配置，</w:t>
      </w:r>
      <w:r>
        <w:rPr>
          <w:rFonts w:hint="eastAsia" w:ascii="宋体" w:hAnsi="宋体" w:eastAsia="宋体" w:cs="宋体"/>
          <w:kern w:val="0"/>
          <w:sz w:val="24"/>
        </w:rPr>
        <w:t>便于信号扩展或控制输出</w:t>
      </w:r>
      <w:r>
        <w:rPr>
          <w:rFonts w:hint="eastAsia" w:ascii="宋体" w:hAnsi="宋体" w:eastAsia="宋体" w:cs="宋体"/>
          <w:sz w:val="24"/>
        </w:rPr>
        <w:t>；</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装置标准配置6路直流量输入：3路4-20mA、3路Pt100输入，可以采集变压器油温及箱变内环境温度；</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具有交流采样功能，可测量I、U、P、Q、F、COSφ、有功电度、无功电度等遥测量；</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变压器低压侧不设PT，装置应可直接采集100V/400V/</w:t>
      </w:r>
      <w:r>
        <w:rPr>
          <w:rFonts w:hint="eastAsia" w:ascii="宋体" w:hAnsi="宋体" w:eastAsia="宋体" w:cs="宋体"/>
          <w:sz w:val="24"/>
          <w:lang w:val="en-US" w:eastAsia="zh-CN"/>
        </w:rPr>
        <w:t>80</w:t>
      </w:r>
      <w:r>
        <w:rPr>
          <w:rFonts w:hint="eastAsia" w:ascii="宋体" w:hAnsi="宋体" w:eastAsia="宋体" w:cs="宋体"/>
          <w:sz w:val="24"/>
        </w:rPr>
        <w:t>0V等级三相电压；</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装置具有两个绕组的完整保护电气量功能：三段式带复压闭锁的定时限过流保护、过负荷告警、过电压、欠电压保护，零序过流保护、TV断线告警、TA断线告警、差流速断保护（比例制动）、比率差动保护（二次谐波涌流识别，TA断线闭锁）、差流越限告警功能；；</w:t>
      </w:r>
    </w:p>
    <w:p>
      <w:pPr>
        <w:numPr>
          <w:ilvl w:val="0"/>
          <w:numId w:val="3"/>
        </w:numPr>
        <w:adjustRightInd w:val="0"/>
        <w:spacing w:line="360" w:lineRule="auto"/>
        <w:jc w:val="left"/>
        <w:textAlignment w:val="baseline"/>
        <w:rPr>
          <w:rFonts w:hint="eastAsia" w:ascii="宋体" w:hAnsi="宋体" w:eastAsia="宋体" w:cs="宋体"/>
          <w:b/>
          <w:sz w:val="24"/>
        </w:rPr>
      </w:pPr>
      <w:r>
        <w:rPr>
          <w:rFonts w:hint="eastAsia" w:ascii="宋体" w:hAnsi="宋体" w:eastAsia="宋体" w:cs="宋体"/>
          <w:b/>
          <w:kern w:val="0"/>
          <w:sz w:val="24"/>
        </w:rPr>
        <w:t>装置具有电流检测功能，当电流大于箱变额定电流时，用于闭锁高压</w:t>
      </w:r>
      <w:r>
        <w:rPr>
          <w:rFonts w:hint="eastAsia" w:ascii="宋体" w:hAnsi="宋体" w:cs="宋体"/>
          <w:b/>
          <w:kern w:val="0"/>
          <w:sz w:val="24"/>
          <w:lang w:val="en-US" w:eastAsia="zh-CN"/>
        </w:rPr>
        <w:t>断路器</w:t>
      </w:r>
      <w:r>
        <w:rPr>
          <w:rFonts w:hint="eastAsia" w:ascii="宋体" w:hAnsi="宋体" w:eastAsia="宋体" w:cs="宋体"/>
          <w:b/>
          <w:kern w:val="0"/>
          <w:sz w:val="24"/>
        </w:rPr>
        <w:t>跳闸和并上传报警信号，在低压断路器完成跳闸后，再跳开高压侧</w:t>
      </w:r>
      <w:r>
        <w:rPr>
          <w:rFonts w:hint="eastAsia" w:ascii="宋体" w:hAnsi="宋体" w:cs="宋体"/>
          <w:b/>
          <w:kern w:val="0"/>
          <w:sz w:val="24"/>
          <w:lang w:val="en-US" w:eastAsia="zh-CN"/>
        </w:rPr>
        <w:t>断路器</w:t>
      </w:r>
      <w:r>
        <w:rPr>
          <w:rFonts w:hint="eastAsia" w:ascii="宋体" w:hAnsi="宋体" w:eastAsia="宋体" w:cs="宋体"/>
          <w:kern w:val="0"/>
          <w:sz w:val="24"/>
        </w:rPr>
        <w:t>。</w:t>
      </w:r>
    </w:p>
    <w:p>
      <w:pPr>
        <w:numPr>
          <w:ilvl w:val="0"/>
          <w:numId w:val="3"/>
        </w:numPr>
        <w:adjustRightInd w:val="0"/>
        <w:spacing w:line="360" w:lineRule="auto"/>
        <w:jc w:val="left"/>
        <w:textAlignment w:val="baseline"/>
        <w:rPr>
          <w:rFonts w:hint="eastAsia" w:ascii="宋体" w:hAnsi="宋体" w:eastAsia="宋体" w:cs="宋体"/>
          <w:b/>
          <w:sz w:val="24"/>
        </w:rPr>
      </w:pPr>
      <w:r>
        <w:rPr>
          <w:rFonts w:hint="eastAsia" w:ascii="宋体" w:hAnsi="宋体" w:eastAsia="宋体" w:cs="宋体"/>
          <w:b/>
          <w:sz w:val="24"/>
        </w:rPr>
        <w:t>装置具有直流量保护：4-20mA直流越限跳闸、4-20mA直流越限告警功能；</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装置具有非电量保护功能，包括：高温报警、超温跳闸、温控器故障等；</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装置可以采集熔断器熔断、箱变门打开等信号；</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应可采集如下开关状态：10kV隔离开关位置信号；</w:t>
      </w:r>
      <w:r>
        <w:rPr>
          <w:rFonts w:hint="eastAsia" w:ascii="宋体" w:hAnsi="宋体" w:cs="宋体"/>
          <w:sz w:val="24"/>
          <w:lang w:val="en-US" w:eastAsia="zh-CN"/>
        </w:rPr>
        <w:t>10</w:t>
      </w:r>
      <w:r>
        <w:rPr>
          <w:rFonts w:hint="eastAsia" w:ascii="宋体" w:hAnsi="宋体" w:eastAsia="宋体" w:cs="宋体"/>
          <w:sz w:val="24"/>
        </w:rPr>
        <w:t>kV</w:t>
      </w:r>
      <w:r>
        <w:rPr>
          <w:rFonts w:hint="eastAsia" w:ascii="宋体" w:hAnsi="宋体" w:cs="宋体"/>
          <w:sz w:val="24"/>
          <w:lang w:val="en-US" w:eastAsia="zh-CN"/>
        </w:rPr>
        <w:t>断路器</w:t>
      </w:r>
      <w:r>
        <w:rPr>
          <w:rFonts w:hint="eastAsia" w:ascii="宋体" w:hAnsi="宋体" w:eastAsia="宋体" w:cs="宋体"/>
          <w:sz w:val="24"/>
        </w:rPr>
        <w:t>位置信号；低压断路器位置信号；</w:t>
      </w:r>
      <w:r>
        <w:rPr>
          <w:rFonts w:hint="eastAsia" w:ascii="宋体" w:hAnsi="宋体" w:eastAsia="宋体" w:cs="宋体"/>
          <w:sz w:val="24"/>
          <w:lang w:val="en-US" w:eastAsia="zh-CN"/>
        </w:rPr>
        <w:t>80</w:t>
      </w:r>
      <w:r>
        <w:rPr>
          <w:rFonts w:hint="eastAsia" w:ascii="宋体" w:hAnsi="宋体" w:eastAsia="宋体" w:cs="宋体"/>
          <w:sz w:val="24"/>
        </w:rPr>
        <w:t>0V低压断路器位置信号；低压隔离开关熔断器组位置信号；小空开位置信号；</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遥控功能：对有电操控功能的开关实现远程控分和控合；</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具有完善的事件报告处理功能和操作记录功能，可至少在装置侧保存4组共400个遥测、遥控、遥信及操作记录；</w:t>
      </w:r>
    </w:p>
    <w:p>
      <w:pPr>
        <w:numPr>
          <w:ilvl w:val="0"/>
          <w:numId w:val="3"/>
        </w:numPr>
        <w:autoSpaceDE w:val="0"/>
        <w:autoSpaceDN w:val="0"/>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对时功能：装置支持网络对时方式；</w:t>
      </w:r>
    </w:p>
    <w:p>
      <w:pPr>
        <w:numPr>
          <w:ilvl w:val="0"/>
          <w:numId w:val="3"/>
        </w:numPr>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通讯功能：装置至少提供</w:t>
      </w:r>
      <w:r>
        <w:rPr>
          <w:rFonts w:hint="eastAsia" w:ascii="宋体" w:hAnsi="宋体" w:cs="宋体"/>
          <w:sz w:val="24"/>
          <w:lang w:val="en-US" w:eastAsia="zh-CN"/>
        </w:rPr>
        <w:t>4</w:t>
      </w:r>
      <w:r>
        <w:rPr>
          <w:rFonts w:hint="eastAsia" w:ascii="宋体" w:hAnsi="宋体" w:eastAsia="宋体" w:cs="宋体"/>
          <w:sz w:val="24"/>
        </w:rPr>
        <w:t>路RS485通讯，一路为通讯输出接口，一路可接入国内常规电度表通讯；装置必须光纤以太网口，并具备光纤环网交换功能，以满足</w:t>
      </w:r>
      <w:r>
        <w:rPr>
          <w:rFonts w:hint="eastAsia" w:ascii="宋体" w:hAnsi="宋体" w:eastAsia="宋体" w:cs="宋体"/>
          <w:sz w:val="24"/>
          <w:lang w:val="en-US" w:eastAsia="zh-CN"/>
        </w:rPr>
        <w:t>光伏</w:t>
      </w:r>
      <w:r>
        <w:rPr>
          <w:rFonts w:hint="eastAsia" w:ascii="宋体" w:hAnsi="宋体" w:eastAsia="宋体" w:cs="宋体"/>
          <w:sz w:val="24"/>
        </w:rPr>
        <w:t>光纤环网的通信要求，单模、多模光纤可选。装置通讯规约同时具有标准的IEC-104/103和Modbus-TCP三种通信规约，可方便日后与各厂家的升压站综自系统接入，具体以升压站综自系统为准；</w:t>
      </w:r>
    </w:p>
    <w:p>
      <w:pPr>
        <w:numPr>
          <w:ilvl w:val="0"/>
          <w:numId w:val="3"/>
        </w:numPr>
        <w:tabs>
          <w:tab w:val="left" w:pos="1740"/>
        </w:tabs>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包括显示、电源、CPU、IO板、通讯板在内的装置全部元器件必须满足宽温-40℃～+70℃条件下装置可保证正常工作的要求，以满足</w:t>
      </w:r>
      <w:r>
        <w:rPr>
          <w:rFonts w:hint="eastAsia" w:ascii="宋体" w:hAnsi="宋体" w:eastAsia="宋体" w:cs="宋体"/>
          <w:sz w:val="24"/>
          <w:lang w:val="en-US" w:eastAsia="zh-CN"/>
        </w:rPr>
        <w:t>光伏厂区</w:t>
      </w:r>
      <w:r>
        <w:rPr>
          <w:rFonts w:hint="eastAsia" w:ascii="宋体" w:hAnsi="宋体" w:eastAsia="宋体" w:cs="宋体"/>
          <w:sz w:val="24"/>
        </w:rPr>
        <w:t>的特殊环境；</w:t>
      </w:r>
    </w:p>
    <w:p>
      <w:pPr>
        <w:numPr>
          <w:ilvl w:val="0"/>
          <w:numId w:val="3"/>
        </w:numPr>
        <w:tabs>
          <w:tab w:val="left" w:pos="1740"/>
        </w:tabs>
        <w:adjustRightInd w:val="0"/>
        <w:spacing w:line="360" w:lineRule="auto"/>
        <w:jc w:val="left"/>
        <w:textAlignment w:val="baseline"/>
        <w:rPr>
          <w:rFonts w:hint="eastAsia" w:ascii="宋体" w:hAnsi="宋体" w:eastAsia="宋体" w:cs="宋体"/>
          <w:sz w:val="24"/>
        </w:rPr>
      </w:pPr>
      <w:r>
        <w:rPr>
          <w:rFonts w:hint="eastAsia" w:ascii="宋体" w:hAnsi="宋体" w:eastAsia="宋体" w:cs="宋体"/>
          <w:sz w:val="24"/>
        </w:rPr>
        <w:t>装置结构应方便安装于美式、欧式、华氏箱变内，安装方式宜采用嵌入式，在保证上述功能的前提下，整套装置尺寸不应超过【嵌入式220mm(宽)*225mm(高)*250mm(深)】</w:t>
      </w:r>
    </w:p>
    <w:p>
      <w:pPr>
        <w:numPr>
          <w:ilvl w:val="0"/>
          <w:numId w:val="3"/>
        </w:numPr>
        <w:adjustRightInd w:val="0"/>
        <w:spacing w:line="360" w:lineRule="auto"/>
        <w:jc w:val="left"/>
        <w:textAlignment w:val="baseline"/>
        <w:rPr>
          <w:rFonts w:hint="eastAsia" w:ascii="宋体" w:hAnsi="宋体" w:eastAsia="宋体" w:cs="宋体"/>
          <w:b/>
          <w:sz w:val="24"/>
        </w:rPr>
      </w:pPr>
      <w:r>
        <w:rPr>
          <w:rFonts w:hint="eastAsia" w:ascii="宋体" w:hAnsi="宋体" w:eastAsia="宋体" w:cs="宋体"/>
          <w:b/>
          <w:sz w:val="24"/>
        </w:rPr>
        <w:t>为便于就地侧查看和调试相关的箱变电气量信息，要求装置采用人机显示插件与测控装置一体化的产品；</w:t>
      </w:r>
    </w:p>
    <w:p>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表2.2-2：测控装置测点表</w:t>
      </w:r>
    </w:p>
    <w:tbl>
      <w:tblPr>
        <w:tblStyle w:val="76"/>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755"/>
        <w:gridCol w:w="2820"/>
        <w:gridCol w:w="1983"/>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序号</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回路名称</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信号名称</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上传方式</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95" w:type="dxa"/>
            <w:gridSpan w:val="5"/>
            <w:vAlign w:val="center"/>
          </w:tcPr>
          <w:p>
            <w:pPr>
              <w:keepNext w:val="0"/>
              <w:keepLines w:val="0"/>
              <w:suppressLineNumbers w:val="0"/>
              <w:spacing w:before="0" w:beforeAutospacing="0" w:after="0" w:afterAutospacing="0"/>
              <w:ind w:left="0" w:right="0"/>
              <w:jc w:val="left"/>
              <w:rPr>
                <w:rFonts w:hint="eastAsia" w:ascii="宋体" w:hAnsi="宋体" w:eastAsia="宋体" w:cs="宋体"/>
              </w:rPr>
            </w:pPr>
            <w:r>
              <w:rPr>
                <w:rFonts w:hint="eastAsia" w:ascii="宋体" w:hAnsi="宋体" w:eastAsia="宋体" w:cs="宋体"/>
              </w:rPr>
              <w:t>一、箱变遥信信息量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755"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lang w:eastAsia="zh-CN"/>
              </w:rPr>
              <w:t>10kV</w:t>
            </w:r>
            <w:r>
              <w:rPr>
                <w:rFonts w:hint="eastAsia" w:ascii="宋体" w:hAnsi="宋体" w:eastAsia="宋体" w:cs="宋体"/>
              </w:rPr>
              <w:t>/</w:t>
            </w:r>
            <w:r>
              <w:rPr>
                <w:rFonts w:hint="eastAsia" w:ascii="宋体" w:hAnsi="宋体" w:eastAsia="宋体" w:cs="宋体"/>
                <w:lang w:val="en-US" w:eastAsia="zh-CN"/>
              </w:rPr>
              <w:t>80</w:t>
            </w:r>
            <w:r>
              <w:rPr>
                <w:rFonts w:hint="eastAsia" w:ascii="宋体" w:hAnsi="宋体" w:eastAsia="宋体" w:cs="宋体"/>
              </w:rPr>
              <w:t>0V变压器</w:t>
            </w:r>
          </w:p>
        </w:tc>
        <w:tc>
          <w:tcPr>
            <w:tcW w:w="2820" w:type="dxa"/>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高温报警</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超温跳闸</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环境温度高报警</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2</w:t>
            </w:r>
          </w:p>
        </w:tc>
        <w:tc>
          <w:tcPr>
            <w:tcW w:w="1755"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lang w:val="en-US" w:eastAsia="zh-CN"/>
              </w:rPr>
              <w:t>800</w:t>
            </w:r>
            <w:r>
              <w:rPr>
                <w:rFonts w:hint="eastAsia" w:ascii="宋体" w:hAnsi="宋体" w:eastAsia="宋体" w:cs="宋体"/>
              </w:rPr>
              <w:t>V进线开关</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低压断路器远方控制方式</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低压断路器合位</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低压断路器分位</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低压开关保护动作跳闸</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浪涌保护器前开关分位</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浪涌保护器前开关合位</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3</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箱变门位置信号（包括高低压室门位置）</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776"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4</w:t>
            </w:r>
          </w:p>
        </w:tc>
        <w:tc>
          <w:tcPr>
            <w:tcW w:w="1755"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lang w:eastAsia="zh-CN"/>
              </w:rPr>
              <w:t>10kV</w:t>
            </w:r>
            <w:r>
              <w:rPr>
                <w:rFonts w:hint="eastAsia" w:ascii="宋体" w:hAnsi="宋体" w:eastAsia="宋体" w:cs="宋体"/>
              </w:rPr>
              <w:t>出线开关</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lang w:val="en-US" w:eastAsia="zh-CN"/>
              </w:rPr>
              <w:t>高压断路器</w:t>
            </w:r>
            <w:r>
              <w:rPr>
                <w:rFonts w:hint="eastAsia" w:ascii="宋体" w:hAnsi="宋体" w:eastAsia="宋体" w:cs="宋体"/>
              </w:rPr>
              <w:t>合位</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lang w:val="en-US" w:eastAsia="zh-CN"/>
              </w:rPr>
              <w:t>高压断路器</w:t>
            </w:r>
            <w:r>
              <w:rPr>
                <w:rFonts w:hint="eastAsia" w:ascii="宋体" w:hAnsi="宋体" w:eastAsia="宋体" w:cs="宋体"/>
              </w:rPr>
              <w:t>分位</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接地刀闸分位信号</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接地刀闸合位信号</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隔离开关分位信号</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隔离开关合位信号</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eastAsia="zh-CN"/>
              </w:rPr>
            </w:pPr>
            <w:r>
              <w:rPr>
                <w:rFonts w:hint="eastAsia" w:ascii="宋体" w:hAnsi="宋体" w:cs="宋体"/>
                <w:lang w:val="en-US" w:eastAsia="zh-CN"/>
              </w:rPr>
              <w:t>5</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控制电源消失</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cs="宋体"/>
                <w:lang w:val="en-US" w:eastAsia="zh-CN"/>
              </w:rPr>
              <w:t>6</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DI备用点</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95" w:type="dxa"/>
            <w:gridSpan w:val="5"/>
            <w:vAlign w:val="center"/>
          </w:tcPr>
          <w:p>
            <w:pPr>
              <w:keepNext w:val="0"/>
              <w:keepLines w:val="0"/>
              <w:suppressLineNumbers w:val="0"/>
              <w:spacing w:before="0" w:beforeAutospacing="0" w:after="0" w:afterAutospacing="0"/>
              <w:ind w:left="0" w:right="0"/>
              <w:jc w:val="left"/>
              <w:rPr>
                <w:rFonts w:hint="eastAsia" w:ascii="宋体" w:hAnsi="宋体" w:eastAsia="宋体" w:cs="宋体"/>
              </w:rPr>
            </w:pPr>
            <w:r>
              <w:rPr>
                <w:rFonts w:hint="eastAsia" w:ascii="宋体" w:hAnsi="宋体" w:eastAsia="宋体" w:cs="宋体"/>
              </w:rPr>
              <w:t>二、箱变遥测信息量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变压器</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绕组温度</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4-20mA</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2</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箱变低压室内</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环境温度</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4-20mA</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3</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箱变高压室内</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环境温度</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4-20mA</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4</w:t>
            </w:r>
          </w:p>
        </w:tc>
        <w:tc>
          <w:tcPr>
            <w:tcW w:w="1755"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lang w:eastAsia="zh-CN"/>
              </w:rPr>
              <w:t>800V</w:t>
            </w:r>
            <w:r>
              <w:rPr>
                <w:rFonts w:hint="eastAsia" w:ascii="宋体" w:hAnsi="宋体" w:eastAsia="宋体" w:cs="宋体"/>
              </w:rPr>
              <w:t>进线</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a相电流 Ia</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交流采样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b相电流 Ib</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交流采样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c相电流 Ic</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交流采样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a相电压Ua</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交流采样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b相电压Ub</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交流采样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755"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c相电压Uc</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交流采样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5</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箱变门位置</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6</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控制电源消失</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接入无源空接点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95" w:type="dxa"/>
            <w:gridSpan w:val="5"/>
            <w:vAlign w:val="center"/>
          </w:tcPr>
          <w:p>
            <w:pPr>
              <w:keepNext w:val="0"/>
              <w:keepLines w:val="0"/>
              <w:suppressLineNumbers w:val="0"/>
              <w:spacing w:before="0" w:beforeAutospacing="0" w:after="0" w:afterAutospacing="0"/>
              <w:ind w:left="0" w:right="0"/>
              <w:jc w:val="left"/>
              <w:rPr>
                <w:rFonts w:hint="eastAsia" w:ascii="宋体" w:hAnsi="宋体" w:eastAsia="宋体" w:cs="宋体"/>
              </w:rPr>
            </w:pPr>
            <w:r>
              <w:rPr>
                <w:rFonts w:hint="eastAsia" w:ascii="宋体" w:hAnsi="宋体" w:eastAsia="宋体" w:cs="宋体"/>
              </w:rPr>
              <w:t>三、箱变遥控信息量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lang w:eastAsia="zh-CN"/>
              </w:rPr>
              <w:t>800V</w:t>
            </w:r>
            <w:r>
              <w:rPr>
                <w:rFonts w:hint="eastAsia" w:ascii="宋体" w:hAnsi="宋体" w:eastAsia="宋体" w:cs="宋体"/>
              </w:rPr>
              <w:t>进线开关</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低压断路器合闸</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提供无源空接点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2</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lang w:eastAsia="zh-CN"/>
              </w:rPr>
              <w:t>800V</w:t>
            </w:r>
            <w:r>
              <w:rPr>
                <w:rFonts w:hint="eastAsia" w:ascii="宋体" w:hAnsi="宋体" w:eastAsia="宋体" w:cs="宋体"/>
              </w:rPr>
              <w:t>进线开关</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低压断路器分闸</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提供无源空接点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3</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lang w:eastAsia="zh-CN"/>
              </w:rPr>
              <w:t>10kV</w:t>
            </w:r>
            <w:r>
              <w:rPr>
                <w:rFonts w:hint="eastAsia" w:ascii="宋体" w:hAnsi="宋体" w:eastAsia="宋体" w:cs="宋体"/>
              </w:rPr>
              <w:t>出线开关</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lang w:val="en-US" w:eastAsia="zh-CN"/>
              </w:rPr>
              <w:t>高压断路器</w:t>
            </w:r>
            <w:r>
              <w:rPr>
                <w:rFonts w:hint="eastAsia" w:ascii="宋体" w:hAnsi="宋体" w:eastAsia="宋体" w:cs="宋体"/>
              </w:rPr>
              <w:t>合闸</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提供无源空接点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cs="宋体"/>
                <w:lang w:eastAsia="zh-CN"/>
              </w:rPr>
            </w:pPr>
            <w:r>
              <w:rPr>
                <w:rFonts w:hint="eastAsia" w:ascii="宋体" w:hAnsi="宋体" w:cs="宋体"/>
                <w:lang w:eastAsia="zh-CN"/>
              </w:rPr>
              <w:t>4</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cs="宋体"/>
                <w:lang w:eastAsia="zh-CN"/>
              </w:rPr>
            </w:pPr>
            <w:r>
              <w:rPr>
                <w:rFonts w:hint="eastAsia" w:ascii="宋体" w:hAnsi="宋体" w:cs="宋体"/>
                <w:lang w:eastAsia="zh-CN"/>
              </w:rPr>
              <w:t>10kV出线开关</w:t>
            </w:r>
          </w:p>
        </w:tc>
        <w:tc>
          <w:tcPr>
            <w:tcW w:w="282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lang w:val="en-US" w:eastAsia="zh-CN"/>
              </w:rPr>
              <w:t>高压断路器</w:t>
            </w:r>
            <w:r>
              <w:rPr>
                <w:rFonts w:hint="eastAsia" w:ascii="宋体" w:hAnsi="宋体" w:eastAsia="宋体" w:cs="宋体"/>
              </w:rPr>
              <w:t>分闸</w:t>
            </w:r>
          </w:p>
        </w:tc>
        <w:tc>
          <w:tcPr>
            <w:tcW w:w="198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提供无源空接点</w:t>
            </w:r>
          </w:p>
        </w:tc>
        <w:tc>
          <w:tcPr>
            <w:tcW w:w="116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pacing w:before="0" w:beforeAutospacing="0" w:after="0" w:afterAutospacing="0"/>
              <w:ind w:left="0" w:right="0"/>
              <w:jc w:val="center"/>
              <w:rPr>
                <w:rFonts w:hint="eastAsia" w:ascii="宋体" w:hAnsi="宋体" w:cs="宋体"/>
                <w:lang w:eastAsia="zh-CN"/>
              </w:rPr>
            </w:pPr>
            <w:r>
              <w:rPr>
                <w:rFonts w:hint="eastAsia" w:ascii="宋体" w:hAnsi="宋体" w:cs="宋体"/>
                <w:lang w:eastAsia="zh-CN"/>
              </w:rPr>
              <w:t>5-8</w:t>
            </w:r>
          </w:p>
        </w:tc>
        <w:tc>
          <w:tcPr>
            <w:tcW w:w="1755" w:type="dxa"/>
            <w:vAlign w:val="center"/>
          </w:tcPr>
          <w:p>
            <w:pPr>
              <w:keepNext w:val="0"/>
              <w:keepLines w:val="0"/>
              <w:suppressLineNumbers w:val="0"/>
              <w:spacing w:before="0" w:beforeAutospacing="0" w:after="0" w:afterAutospacing="0"/>
              <w:ind w:left="0" w:right="0"/>
              <w:jc w:val="center"/>
              <w:rPr>
                <w:rFonts w:hint="eastAsia" w:ascii="宋体" w:hAnsi="宋体" w:cs="宋体"/>
                <w:lang w:eastAsia="zh-CN"/>
              </w:rPr>
            </w:pPr>
            <w:r>
              <w:rPr>
                <w:rFonts w:hint="eastAsia" w:ascii="宋体" w:hAnsi="宋体" w:cs="宋体"/>
                <w:lang w:eastAsia="zh-CN"/>
              </w:rPr>
              <w:t>备用</w:t>
            </w:r>
          </w:p>
        </w:tc>
        <w:tc>
          <w:tcPr>
            <w:tcW w:w="2820" w:type="dxa"/>
            <w:vAlign w:val="center"/>
          </w:tcPr>
          <w:p>
            <w:pPr>
              <w:keepNext w:val="0"/>
              <w:keepLines w:val="0"/>
              <w:suppressLineNumbers w:val="0"/>
              <w:snapToGrid w:val="0"/>
              <w:spacing w:before="0" w:beforeAutospacing="0" w:after="0" w:afterAutospacing="0" w:line="312" w:lineRule="auto"/>
              <w:ind w:left="0" w:right="0"/>
              <w:jc w:val="center"/>
              <w:rPr>
                <w:rFonts w:hint="eastAsia" w:ascii="宋体" w:hAnsi="宋体" w:eastAsia="宋体" w:cs="宋体"/>
                <w:bCs/>
                <w:snapToGrid w:val="0"/>
              </w:rPr>
            </w:pPr>
          </w:p>
        </w:tc>
        <w:tc>
          <w:tcPr>
            <w:tcW w:w="1983" w:type="dxa"/>
            <w:vAlign w:val="center"/>
          </w:tcPr>
          <w:p>
            <w:pPr>
              <w:keepNext w:val="0"/>
              <w:keepLines w:val="0"/>
              <w:suppressLineNumbers w:val="0"/>
              <w:snapToGrid w:val="0"/>
              <w:spacing w:before="0" w:beforeAutospacing="0" w:after="0" w:afterAutospacing="0" w:line="312" w:lineRule="auto"/>
              <w:ind w:left="0" w:right="0"/>
              <w:jc w:val="center"/>
              <w:rPr>
                <w:rFonts w:hint="eastAsia" w:ascii="宋体" w:hAnsi="宋体" w:eastAsia="宋体" w:cs="宋体"/>
                <w:bCs/>
                <w:snapToGrid w:val="0"/>
              </w:rPr>
            </w:pPr>
          </w:p>
        </w:tc>
        <w:tc>
          <w:tcPr>
            <w:tcW w:w="1161" w:type="dxa"/>
            <w:vAlign w:val="center"/>
          </w:tcPr>
          <w:p>
            <w:pPr>
              <w:keepNext w:val="0"/>
              <w:keepLines w:val="0"/>
              <w:suppressLineNumbers w:val="0"/>
              <w:snapToGrid w:val="0"/>
              <w:spacing w:before="0" w:beforeAutospacing="0" w:after="0" w:afterAutospacing="0" w:line="312" w:lineRule="auto"/>
              <w:ind w:left="0" w:right="0"/>
              <w:jc w:val="center"/>
              <w:rPr>
                <w:rFonts w:hint="eastAsia" w:ascii="宋体" w:hAnsi="宋体" w:eastAsia="宋体" w:cs="宋体"/>
                <w:bCs/>
                <w:snapToGrid w:val="0"/>
              </w:rPr>
            </w:pPr>
          </w:p>
        </w:tc>
      </w:tr>
    </w:tbl>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d．系统对时</w:t>
      </w:r>
    </w:p>
    <w:p>
      <w:pPr>
        <w:pStyle w:val="158"/>
        <w:spacing w:line="360" w:lineRule="auto"/>
        <w:ind w:firstLine="424" w:firstLineChars="177"/>
        <w:rPr>
          <w:rFonts w:hint="eastAsia" w:ascii="宋体" w:hAnsi="宋体" w:eastAsia="宋体" w:cs="宋体"/>
          <w:bCs w:val="0"/>
          <w:sz w:val="24"/>
        </w:rPr>
      </w:pPr>
      <w:r>
        <w:rPr>
          <w:rFonts w:hint="eastAsia" w:ascii="宋体" w:hAnsi="宋体" w:eastAsia="宋体" w:cs="宋体"/>
          <w:sz w:val="24"/>
          <w:szCs w:val="24"/>
        </w:rPr>
        <w:t>箱变集中监控系统从站内时钟同步系统获得授时(对时)信号，保证I/O数据采集单元的时间同步达到1ms精度要求。当时钟失去同步时，应自动告警并记录事件。监控系统集控层设备优先采用IRIG-B对时方式，子控层设备的对时接口优先选用网络对时方式。</w:t>
      </w:r>
    </w:p>
    <w:p>
      <w:pPr>
        <w:pStyle w:val="158"/>
        <w:spacing w:line="360" w:lineRule="auto"/>
        <w:ind w:firstLine="0" w:firstLineChars="0"/>
        <w:rPr>
          <w:rFonts w:hint="eastAsia" w:ascii="宋体" w:hAnsi="宋体" w:eastAsia="宋体" w:cs="宋体"/>
          <w:sz w:val="24"/>
          <w:szCs w:val="24"/>
        </w:rPr>
      </w:pPr>
      <w:r>
        <w:rPr>
          <w:rFonts w:hint="eastAsia" w:ascii="宋体" w:hAnsi="宋体" w:eastAsia="宋体" w:cs="宋体"/>
          <w:sz w:val="24"/>
          <w:szCs w:val="24"/>
        </w:rPr>
        <w:t>e．UPS电源</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采用电力专用在线式UPS电源为箱变测控、保护设备提供交流电源。UPS电源容量为2kVA，自带蓄电池，蓄电池容量应能满足</w:t>
      </w:r>
      <w:r>
        <w:rPr>
          <w:rFonts w:hint="eastAsia" w:ascii="宋体" w:hAnsi="宋体" w:eastAsia="宋体" w:cs="宋体"/>
          <w:sz w:val="24"/>
          <w:szCs w:val="24"/>
          <w:lang w:val="en-US" w:eastAsia="zh-CN"/>
        </w:rPr>
        <w:t>120</w:t>
      </w:r>
      <w:r>
        <w:rPr>
          <w:rFonts w:hint="eastAsia" w:ascii="宋体" w:hAnsi="宋体" w:eastAsia="宋体" w:cs="宋体"/>
          <w:sz w:val="24"/>
          <w:szCs w:val="24"/>
        </w:rPr>
        <w:t>min停电需求，蓄电池的选择应能充分考虑环境因素的影响。UPS由辅助用电系统提供1回AC220V电源作输入电源，蓄电池直流电源用作热备用。当辅助用电系统交流电源中断时，应无时限地切换至直流电源，以确保交流输出不间断。馈线回路应满足现地设备用电需要。</w:t>
      </w:r>
    </w:p>
    <w:p>
      <w:pPr>
        <w:pStyle w:val="158"/>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f.</w:t>
      </w:r>
      <w:r>
        <w:rPr>
          <w:rFonts w:hint="eastAsia" w:ascii="宋体" w:hAnsi="宋体" w:eastAsia="宋体" w:cs="宋体"/>
          <w:sz w:val="24"/>
          <w:szCs w:val="24"/>
        </w:rPr>
        <w:t>箱变光纤温度在线监测系统</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每台箱变配置一套光纤温控系统，可直接监测箱变低压侧断路器触头、电缆接头处等部位温度，利用光纤测温探头，感应箱变低压侧断路器触头处、电缆接头处温度，可以直观地监测和评估箱变的运行情况，提前发现触头或接头处过热问题，避免对箱变绝缘和寿命造成不利影响；</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箱变光纤温度在线监测系统由光纤测温传感器、光纤测温仪（显示模块）、光纤等组成，每台箱变的测温点数不少于 6 个，低压侧断路器触头温度（3 点）、电缆接头温度（3 点）,最终测点数量位置由项目单位确定。可实时在线监测和故障报警，除可就地显示报警信息外，还能通过 RS485 口传至监控后台，并能实现远程监控。要求厂家提供三年以上可靠运行业绩合同证明；</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荧光光纤测温仪安装于箱变辅助单元箱内，光纤探针接触式可实时在线监控箱变低压侧断路器进线、出线触点、电缆接头等部位温度。光纤测温仪供电电源为 220VAC，设备通过主机RS485 接口输出接入箱变测控装置（有预留RS485接口）通过测控装置内部通讯环网将数据回传至后台，支持 modbus 协议，开放温度点表，可接入后台综自系统；</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若无预留RS485接口时，可在箱变内增加 485 转网转换模块，通过网络接口上传至箱变测控装置（有预留RS485接口）通过测控装置内部通讯环网将数据回传至后台。</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具有温度数据存储、预警，监测点实时温度数据曲线及图表展示显示功能。  箱变光纤温度在线监测系统主要技术参数如下：</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（1）温度测量范围：-20~+150℃；</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（2）测温精度：±1℃；</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（3）系统不受箱变内电磁环境影响并提供相关电磁兼容试验报告；</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（4）能够存储温度数据和报警温度时间等参数；</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（5）探头寿命不小于 30 年。</w:t>
      </w:r>
    </w:p>
    <w:p>
      <w:pPr>
        <w:pStyle w:val="158"/>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z w:val="24"/>
          <w:szCs w:val="24"/>
          <w:lang w:val="en-US" w:eastAsia="zh-CN"/>
        </w:rPr>
        <w:t>g.</w:t>
      </w:r>
      <w:r>
        <w:rPr>
          <w:rFonts w:hint="eastAsia" w:ascii="宋体" w:hAnsi="宋体" w:eastAsia="宋体" w:cs="宋体"/>
          <w:sz w:val="24"/>
          <w:szCs w:val="24"/>
        </w:rPr>
        <w:t>预留视频监控及纵向加密交换机的位置，预留纵向加密装置位置，并配线至装置侧</w:t>
      </w:r>
      <w:r>
        <w:rPr>
          <w:rFonts w:hint="eastAsia" w:ascii="宋体" w:hAnsi="宋体" w:eastAsia="宋体" w:cs="宋体"/>
          <w:sz w:val="24"/>
          <w:szCs w:val="24"/>
          <w:lang w:eastAsia="zh-CN"/>
        </w:rPr>
        <w:t>。</w:t>
      </w:r>
      <w:r>
        <w:rPr>
          <w:rFonts w:hint="eastAsia" w:ascii="宋体" w:hAnsi="宋体" w:eastAsia="宋体" w:cs="宋体"/>
          <w:sz w:val="24"/>
          <w:szCs w:val="24"/>
        </w:rPr>
        <w:t>预留光伏通讯箱安装位置。</w:t>
      </w:r>
    </w:p>
    <w:p>
      <w:pPr>
        <w:pStyle w:val="7"/>
        <w:spacing w:before="0" w:after="0" w:line="360" w:lineRule="auto"/>
        <w:rPr>
          <w:rFonts w:hint="eastAsia" w:ascii="宋体" w:hAnsi="宋体" w:eastAsia="宋体" w:cs="宋体"/>
          <w:b w:val="0"/>
          <w:sz w:val="24"/>
          <w:szCs w:val="24"/>
        </w:rPr>
      </w:pPr>
      <w:r>
        <w:rPr>
          <w:rFonts w:hint="eastAsia" w:ascii="宋体" w:hAnsi="宋体" w:eastAsia="宋体" w:cs="宋体"/>
          <w:b w:val="0"/>
          <w:sz w:val="24"/>
          <w:szCs w:val="24"/>
        </w:rPr>
        <w:t>2.2.8.2 其它设备</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1）箱变断路器操作电源取自UPS馈线支路AC220V或箱变自用变支路AC220V，操作回路设置远方、现地转换开关，实现远方/现地操作方式。断路器应提供至少2对断路器位置辅助接点用于外部接线，并以实际确认图纸为准。低压断路器配置过载长延时及短路瞬时保护等保护功能，并提供1对脱扣报警接点。断路器应具有现地防跳功能。</w:t>
      </w:r>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（2）箱变内组合电器、隔离开关及接地开关应具有机械五防和电气五防功能，能安装五防锁具。</w:t>
      </w:r>
    </w:p>
    <w:p>
      <w:pPr>
        <w:pStyle w:val="158"/>
        <w:spacing w:line="360" w:lineRule="auto"/>
        <w:ind w:firstLine="424" w:firstLineChars="177"/>
        <w:rPr>
          <w:rFonts w:hint="eastAsia" w:ascii="宋体" w:hAnsi="宋体" w:eastAsia="宋体" w:cs="宋体"/>
          <w:b/>
          <w:bCs w:val="0"/>
          <w:snapToGrid w:val="0"/>
          <w:sz w:val="24"/>
          <w:szCs w:val="24"/>
        </w:rPr>
      </w:pPr>
      <w:r>
        <w:rPr>
          <w:rFonts w:hint="eastAsia" w:ascii="宋体" w:hAnsi="宋体" w:eastAsia="宋体" w:cs="宋体"/>
          <w:sz w:val="24"/>
          <w:szCs w:val="24"/>
        </w:rPr>
        <w:t>（3）箱变内的信号均应引出至箱变对外连接的端子。</w:t>
      </w:r>
    </w:p>
    <w:p>
      <w:pPr>
        <w:pStyle w:val="6"/>
        <w:spacing w:before="0" w:after="0" w:line="360" w:lineRule="auto"/>
        <w:rPr>
          <w:rFonts w:hint="eastAsia" w:ascii="宋体" w:hAnsi="宋体" w:eastAsia="宋体" w:cs="宋体"/>
          <w:b w:val="0"/>
          <w:sz w:val="24"/>
          <w:szCs w:val="24"/>
        </w:rPr>
      </w:pPr>
      <w:bookmarkStart w:id="175" w:name="_Toc520986937"/>
      <w:r>
        <w:rPr>
          <w:rFonts w:hint="eastAsia" w:ascii="宋体" w:hAnsi="宋体" w:eastAsia="宋体" w:cs="宋体"/>
          <w:b w:val="0"/>
          <w:sz w:val="24"/>
          <w:szCs w:val="24"/>
        </w:rPr>
        <w:t>2.2.9土建接口</w:t>
      </w:r>
      <w:bookmarkEnd w:id="175"/>
    </w:p>
    <w:p>
      <w:pPr>
        <w:pStyle w:val="158"/>
        <w:spacing w:line="360" w:lineRule="auto"/>
        <w:ind w:firstLine="424" w:firstLineChars="177"/>
        <w:rPr>
          <w:rFonts w:hint="eastAsia" w:ascii="宋体" w:hAnsi="宋体" w:eastAsia="宋体" w:cs="宋体"/>
          <w:sz w:val="24"/>
          <w:szCs w:val="24"/>
        </w:rPr>
      </w:pPr>
      <w:r>
        <w:rPr>
          <w:rFonts w:hint="eastAsia" w:ascii="宋体" w:hAnsi="宋体" w:eastAsia="宋体" w:cs="宋体"/>
          <w:sz w:val="24"/>
          <w:szCs w:val="24"/>
        </w:rPr>
        <w:t>箱式变电站制造厂家提供本工程土建设计接口。以满足本工程土建基础设计的需要。</w:t>
      </w:r>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176" w:name="_Toc12061"/>
      <w:r>
        <w:rPr>
          <w:rFonts w:hint="eastAsia" w:ascii="宋体" w:hAnsi="宋体" w:eastAsia="宋体" w:cs="宋体"/>
          <w:highlight w:val="none"/>
        </w:rPr>
        <w:t>3 试验</w:t>
      </w:r>
      <w:bookmarkEnd w:id="170"/>
      <w:bookmarkEnd w:id="171"/>
      <w:bookmarkEnd w:id="172"/>
      <w:bookmarkEnd w:id="173"/>
      <w:bookmarkEnd w:id="174"/>
      <w:bookmarkEnd w:id="176"/>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77" w:name="_Toc520986939"/>
      <w:bookmarkStart w:id="178" w:name="_Toc1237"/>
      <w:bookmarkStart w:id="179" w:name="_Toc374104365"/>
      <w:bookmarkStart w:id="180" w:name="_Toc255394715"/>
      <w:bookmarkStart w:id="181" w:name="_Toc241636744"/>
      <w:r>
        <w:rPr>
          <w:rFonts w:hint="eastAsia" w:ascii="宋体" w:hAnsi="宋体" w:eastAsia="宋体" w:cs="宋体"/>
          <w:b w:val="0"/>
          <w:bCs/>
          <w:sz w:val="28"/>
          <w:szCs w:val="28"/>
        </w:rPr>
        <w:t>3.1 总则</w:t>
      </w:r>
      <w:bookmarkEnd w:id="177"/>
      <w:bookmarkEnd w:id="178"/>
      <w:bookmarkEnd w:id="179"/>
    </w:p>
    <w:p>
      <w:pPr>
        <w:pStyle w:val="316"/>
        <w:numPr>
          <w:ilvl w:val="0"/>
          <w:numId w:val="0"/>
        </w:numPr>
        <w:ind w:left="780" w:hanging="420"/>
        <w:rPr>
          <w:rFonts w:hint="eastAsia" w:ascii="宋体" w:hAnsi="宋体" w:eastAsia="宋体" w:cs="宋体"/>
          <w:sz w:val="24"/>
          <w:szCs w:val="24"/>
        </w:rPr>
      </w:pPr>
      <w:r>
        <w:rPr>
          <w:rFonts w:hint="eastAsia" w:ascii="宋体" w:hAnsi="宋体" w:eastAsia="宋体" w:cs="宋体"/>
          <w:sz w:val="24"/>
          <w:szCs w:val="24"/>
        </w:rPr>
        <w:t>预装式变电站的试验分为例行试验、型式试验和特殊试验。</w:t>
      </w:r>
    </w:p>
    <w:p>
      <w:pPr>
        <w:pStyle w:val="316"/>
        <w:numPr>
          <w:ilvl w:val="0"/>
          <w:numId w:val="0"/>
        </w:numPr>
        <w:ind w:left="780" w:hanging="420"/>
        <w:rPr>
          <w:rFonts w:hint="eastAsia" w:ascii="宋体" w:hAnsi="宋体" w:eastAsia="宋体" w:cs="宋体"/>
          <w:sz w:val="24"/>
          <w:szCs w:val="24"/>
        </w:rPr>
      </w:pPr>
      <w:r>
        <w:rPr>
          <w:rFonts w:hint="eastAsia" w:ascii="宋体" w:hAnsi="宋体" w:eastAsia="宋体" w:cs="宋体"/>
          <w:sz w:val="24"/>
          <w:szCs w:val="24"/>
        </w:rPr>
        <w:t>试验的一般要求按GB 1094.1的规定。</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82" w:name="_Toc28209"/>
      <w:bookmarkStart w:id="183" w:name="_Toc156016651"/>
      <w:bookmarkStart w:id="184" w:name="_Toc165125337"/>
      <w:bookmarkStart w:id="185" w:name="_Toc252017589"/>
      <w:bookmarkStart w:id="186" w:name="_Toc520986940"/>
      <w:bookmarkStart w:id="187" w:name="_Toc374104366"/>
      <w:bookmarkStart w:id="188" w:name="_Toc5153"/>
      <w:r>
        <w:rPr>
          <w:rFonts w:hint="eastAsia" w:ascii="宋体" w:hAnsi="宋体" w:eastAsia="宋体" w:cs="宋体"/>
          <w:b w:val="0"/>
          <w:bCs/>
          <w:sz w:val="28"/>
          <w:szCs w:val="28"/>
        </w:rPr>
        <w:t xml:space="preserve">3.2 </w:t>
      </w:r>
      <w:bookmarkEnd w:id="182"/>
      <w:bookmarkEnd w:id="183"/>
      <w:bookmarkEnd w:id="184"/>
      <w:bookmarkEnd w:id="185"/>
      <w:r>
        <w:rPr>
          <w:rFonts w:hint="eastAsia" w:ascii="宋体" w:hAnsi="宋体" w:eastAsia="宋体" w:cs="宋体"/>
          <w:b w:val="0"/>
          <w:bCs/>
          <w:sz w:val="28"/>
          <w:szCs w:val="28"/>
        </w:rPr>
        <w:t>例行试验</w:t>
      </w:r>
      <w:bookmarkEnd w:id="186"/>
      <w:bookmarkEnd w:id="187"/>
      <w:bookmarkEnd w:id="188"/>
    </w:p>
    <w:p>
      <w:pPr>
        <w:pStyle w:val="316"/>
        <w:numPr>
          <w:ilvl w:val="0"/>
          <w:numId w:val="0"/>
        </w:numPr>
        <w:ind w:left="479"/>
        <w:rPr>
          <w:rFonts w:hint="eastAsia" w:ascii="宋体" w:hAnsi="宋体" w:eastAsia="宋体" w:cs="宋体"/>
          <w:sz w:val="24"/>
          <w:szCs w:val="24"/>
        </w:rPr>
      </w:pPr>
      <w:r>
        <w:rPr>
          <w:rFonts w:hint="eastAsia" w:ascii="宋体" w:hAnsi="宋体" w:eastAsia="宋体" w:cs="宋体"/>
          <w:sz w:val="24"/>
          <w:szCs w:val="24"/>
        </w:rPr>
        <w:t>A)一般检查；</w:t>
      </w:r>
    </w:p>
    <w:p>
      <w:pPr>
        <w:pStyle w:val="316"/>
        <w:numPr>
          <w:ilvl w:val="0"/>
          <w:numId w:val="4"/>
        </w:numPr>
        <w:rPr>
          <w:rFonts w:hint="eastAsia" w:ascii="宋体" w:hAnsi="宋体" w:eastAsia="宋体" w:cs="宋体"/>
          <w:sz w:val="24"/>
          <w:szCs w:val="24"/>
        </w:rPr>
      </w:pPr>
      <w:r>
        <w:rPr>
          <w:rFonts w:hint="eastAsia" w:ascii="宋体" w:hAnsi="宋体" w:eastAsia="宋体" w:cs="宋体"/>
          <w:sz w:val="24"/>
          <w:szCs w:val="24"/>
        </w:rPr>
        <w:t>外观应整洁美观，标识清晰；</w:t>
      </w:r>
    </w:p>
    <w:p>
      <w:pPr>
        <w:pStyle w:val="316"/>
        <w:numPr>
          <w:ilvl w:val="0"/>
          <w:numId w:val="4"/>
        </w:numPr>
        <w:rPr>
          <w:rFonts w:hint="eastAsia" w:ascii="宋体" w:hAnsi="宋体" w:eastAsia="宋体" w:cs="宋体"/>
          <w:sz w:val="24"/>
          <w:szCs w:val="24"/>
        </w:rPr>
      </w:pPr>
      <w:r>
        <w:rPr>
          <w:rFonts w:hint="eastAsia" w:ascii="宋体" w:hAnsi="宋体" w:eastAsia="宋体" w:cs="宋体"/>
          <w:sz w:val="24"/>
          <w:szCs w:val="24"/>
        </w:rPr>
        <w:t>接线应正确合理，符合图样要求；</w:t>
      </w:r>
    </w:p>
    <w:p>
      <w:pPr>
        <w:pStyle w:val="316"/>
        <w:numPr>
          <w:ilvl w:val="0"/>
          <w:numId w:val="4"/>
        </w:numPr>
        <w:rPr>
          <w:rFonts w:hint="eastAsia" w:ascii="宋体" w:hAnsi="宋体" w:eastAsia="宋体" w:cs="宋体"/>
          <w:sz w:val="24"/>
          <w:szCs w:val="24"/>
        </w:rPr>
      </w:pPr>
      <w:r>
        <w:rPr>
          <w:rFonts w:hint="eastAsia" w:ascii="宋体" w:hAnsi="宋体" w:eastAsia="宋体" w:cs="宋体"/>
          <w:sz w:val="24"/>
          <w:szCs w:val="24"/>
        </w:rPr>
        <w:t>箱门的开启、关闭及联锁应灵活可靠；</w:t>
      </w:r>
    </w:p>
    <w:p>
      <w:pPr>
        <w:pStyle w:val="316"/>
        <w:numPr>
          <w:ilvl w:val="0"/>
          <w:numId w:val="4"/>
        </w:numPr>
        <w:rPr>
          <w:rFonts w:hint="eastAsia" w:ascii="宋体" w:hAnsi="宋体" w:eastAsia="宋体" w:cs="宋体"/>
          <w:sz w:val="24"/>
          <w:szCs w:val="24"/>
        </w:rPr>
      </w:pPr>
      <w:r>
        <w:rPr>
          <w:rFonts w:hint="eastAsia" w:ascii="宋体" w:hAnsi="宋体" w:eastAsia="宋体" w:cs="宋体"/>
          <w:sz w:val="24"/>
          <w:szCs w:val="24"/>
        </w:rPr>
        <w:t>电缆头的连接应可靠、安全；</w:t>
      </w:r>
    </w:p>
    <w:p>
      <w:pPr>
        <w:pStyle w:val="316"/>
        <w:numPr>
          <w:ilvl w:val="0"/>
          <w:numId w:val="4"/>
        </w:numPr>
        <w:rPr>
          <w:rFonts w:hint="eastAsia" w:ascii="宋体" w:hAnsi="宋体" w:eastAsia="宋体" w:cs="宋体"/>
          <w:sz w:val="24"/>
          <w:szCs w:val="24"/>
        </w:rPr>
      </w:pPr>
      <w:r>
        <w:rPr>
          <w:rFonts w:hint="eastAsia" w:ascii="宋体" w:hAnsi="宋体" w:eastAsia="宋体" w:cs="宋体"/>
          <w:sz w:val="24"/>
          <w:szCs w:val="24"/>
        </w:rPr>
        <w:t>熔断器熔丝的更换应可靠、安全；</w:t>
      </w:r>
    </w:p>
    <w:p>
      <w:pPr>
        <w:pStyle w:val="316"/>
        <w:numPr>
          <w:ilvl w:val="0"/>
          <w:numId w:val="4"/>
        </w:numPr>
        <w:rPr>
          <w:rFonts w:hint="eastAsia" w:ascii="宋体" w:hAnsi="宋体" w:eastAsia="宋体" w:cs="宋体"/>
          <w:sz w:val="24"/>
          <w:szCs w:val="24"/>
        </w:rPr>
      </w:pPr>
      <w:r>
        <w:rPr>
          <w:rFonts w:hint="eastAsia" w:ascii="宋体" w:hAnsi="宋体" w:eastAsia="宋体" w:cs="宋体"/>
          <w:sz w:val="24"/>
          <w:szCs w:val="24"/>
        </w:rPr>
        <w:t>接地回路应可靠、安全。</w:t>
      </w:r>
    </w:p>
    <w:p>
      <w:pPr>
        <w:pStyle w:val="316"/>
        <w:numPr>
          <w:ilvl w:val="0"/>
          <w:numId w:val="0"/>
        </w:numPr>
        <w:ind w:left="105" w:leftChars="50" w:firstLine="360" w:firstLineChars="150"/>
        <w:rPr>
          <w:rFonts w:hint="eastAsia" w:ascii="宋体" w:hAnsi="宋体" w:eastAsia="宋体" w:cs="宋体"/>
          <w:sz w:val="24"/>
          <w:szCs w:val="24"/>
        </w:rPr>
      </w:pPr>
      <w:r>
        <w:rPr>
          <w:rFonts w:hint="eastAsia" w:ascii="宋体" w:hAnsi="宋体" w:eastAsia="宋体" w:cs="宋体"/>
          <w:sz w:val="24"/>
          <w:szCs w:val="24"/>
        </w:rPr>
        <w:t>B）机械操作试验；</w:t>
      </w:r>
    </w:p>
    <w:p>
      <w:pPr>
        <w:pStyle w:val="316"/>
        <w:numPr>
          <w:ilvl w:val="0"/>
          <w:numId w:val="0"/>
        </w:numPr>
        <w:ind w:firstLine="480" w:firstLineChars="200"/>
        <w:rPr>
          <w:rFonts w:hint="eastAsia" w:ascii="宋体" w:hAnsi="宋体" w:eastAsia="宋体" w:cs="宋体"/>
          <w:sz w:val="24"/>
          <w:szCs w:val="24"/>
        </w:rPr>
      </w:pPr>
      <w:r>
        <w:rPr>
          <w:rFonts w:hint="eastAsia" w:cs="宋体"/>
          <w:sz w:val="24"/>
          <w:szCs w:val="24"/>
          <w:lang w:val="en-US" w:eastAsia="zh-CN"/>
        </w:rPr>
        <w:t>断路器</w:t>
      </w:r>
      <w:r>
        <w:rPr>
          <w:rFonts w:hint="eastAsia" w:ascii="宋体" w:hAnsi="宋体" w:eastAsia="宋体" w:cs="宋体"/>
          <w:sz w:val="24"/>
          <w:szCs w:val="24"/>
        </w:rPr>
        <w:t>的机械操作试验按JB/T 10681的规定进行，试验时，触头应转动灵活。</w:t>
      </w:r>
    </w:p>
    <w:p>
      <w:pPr>
        <w:pStyle w:val="316"/>
        <w:numPr>
          <w:ilvl w:val="0"/>
          <w:numId w:val="0"/>
        </w:numPr>
        <w:ind w:left="105" w:leftChars="50" w:firstLine="360" w:firstLineChars="150"/>
        <w:rPr>
          <w:rFonts w:hint="eastAsia" w:ascii="宋体" w:hAnsi="宋体" w:eastAsia="宋体" w:cs="宋体"/>
          <w:sz w:val="24"/>
          <w:szCs w:val="24"/>
        </w:rPr>
      </w:pPr>
      <w:r>
        <w:rPr>
          <w:rFonts w:hint="eastAsia" w:ascii="宋体" w:hAnsi="宋体" w:eastAsia="宋体" w:cs="宋体"/>
          <w:sz w:val="24"/>
          <w:szCs w:val="24"/>
        </w:rPr>
        <w:t>C）直流电阻不平衡率测量（按GB/T 6451）；</w:t>
      </w:r>
    </w:p>
    <w:p>
      <w:pPr>
        <w:pStyle w:val="316"/>
        <w:numPr>
          <w:ilvl w:val="0"/>
          <w:numId w:val="0"/>
        </w:numPr>
        <w:ind w:left="105" w:leftChars="50" w:firstLine="360" w:firstLineChars="150"/>
        <w:rPr>
          <w:rFonts w:hint="eastAsia" w:ascii="宋体" w:hAnsi="宋体" w:eastAsia="宋体" w:cs="宋体"/>
          <w:sz w:val="24"/>
          <w:szCs w:val="24"/>
        </w:rPr>
      </w:pPr>
      <w:r>
        <w:rPr>
          <w:rFonts w:hint="eastAsia" w:ascii="宋体" w:hAnsi="宋体" w:eastAsia="宋体" w:cs="宋体"/>
          <w:sz w:val="24"/>
          <w:szCs w:val="24"/>
        </w:rPr>
        <w:t>D）电压比测量和联结组标号检定（按JB/T 501）；</w:t>
      </w:r>
    </w:p>
    <w:p>
      <w:pPr>
        <w:pStyle w:val="316"/>
        <w:numPr>
          <w:ilvl w:val="0"/>
          <w:numId w:val="0"/>
        </w:numPr>
        <w:ind w:left="105" w:leftChars="50" w:firstLine="360" w:firstLineChars="150"/>
        <w:rPr>
          <w:rFonts w:hint="eastAsia" w:ascii="宋体" w:hAnsi="宋体" w:eastAsia="宋体" w:cs="宋体"/>
          <w:sz w:val="24"/>
          <w:szCs w:val="24"/>
        </w:rPr>
      </w:pPr>
      <w:r>
        <w:rPr>
          <w:rFonts w:hint="eastAsia" w:ascii="宋体" w:hAnsi="宋体" w:eastAsia="宋体" w:cs="宋体"/>
          <w:sz w:val="24"/>
          <w:szCs w:val="24"/>
        </w:rPr>
        <w:t>E）短路阻抗和负载损耗测量（按JB/T 501）；</w:t>
      </w:r>
    </w:p>
    <w:p>
      <w:pPr>
        <w:pStyle w:val="316"/>
        <w:numPr>
          <w:ilvl w:val="0"/>
          <w:numId w:val="0"/>
        </w:numPr>
        <w:ind w:left="105" w:leftChars="50" w:firstLine="360" w:firstLineChars="150"/>
        <w:rPr>
          <w:rFonts w:hint="eastAsia" w:ascii="宋体" w:hAnsi="宋体" w:eastAsia="宋体" w:cs="宋体"/>
          <w:sz w:val="24"/>
          <w:szCs w:val="24"/>
        </w:rPr>
      </w:pPr>
      <w:r>
        <w:rPr>
          <w:rFonts w:hint="eastAsia" w:ascii="宋体" w:hAnsi="宋体" w:eastAsia="宋体" w:cs="宋体"/>
          <w:sz w:val="24"/>
          <w:szCs w:val="24"/>
        </w:rPr>
        <w:t>F）空载电流和空载损耗测量（按JB/T 501）；</w:t>
      </w:r>
    </w:p>
    <w:p>
      <w:pPr>
        <w:pStyle w:val="316"/>
        <w:numPr>
          <w:ilvl w:val="0"/>
          <w:numId w:val="0"/>
        </w:numPr>
        <w:ind w:left="105" w:leftChars="50" w:firstLine="360" w:firstLineChars="150"/>
        <w:rPr>
          <w:rFonts w:hint="eastAsia" w:ascii="宋体" w:hAnsi="宋体" w:eastAsia="宋体" w:cs="宋体"/>
          <w:sz w:val="24"/>
          <w:szCs w:val="24"/>
        </w:rPr>
      </w:pPr>
      <w:r>
        <w:rPr>
          <w:rFonts w:hint="eastAsia" w:ascii="宋体" w:hAnsi="宋体" w:eastAsia="宋体" w:cs="宋体"/>
          <w:sz w:val="24"/>
          <w:szCs w:val="24"/>
        </w:rPr>
        <w:t>G）绕组对地绝缘电阻的测量（按JB/T 501）；</w:t>
      </w:r>
    </w:p>
    <w:p>
      <w:pPr>
        <w:pStyle w:val="316"/>
        <w:numPr>
          <w:ilvl w:val="0"/>
          <w:numId w:val="0"/>
        </w:numPr>
        <w:ind w:left="105" w:leftChars="50" w:firstLine="360" w:firstLineChars="150"/>
        <w:rPr>
          <w:rFonts w:hint="eastAsia" w:ascii="宋体" w:hAnsi="宋体" w:eastAsia="宋体" w:cs="宋体"/>
          <w:sz w:val="24"/>
          <w:szCs w:val="24"/>
        </w:rPr>
      </w:pPr>
      <w:r>
        <w:rPr>
          <w:rFonts w:hint="eastAsia" w:ascii="宋体" w:hAnsi="宋体" w:eastAsia="宋体" w:cs="宋体"/>
          <w:sz w:val="24"/>
          <w:szCs w:val="24"/>
        </w:rPr>
        <w:t>H）绝缘例行试验（按GB 1094.3）；</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89" w:name="_Toc13968"/>
      <w:bookmarkStart w:id="190" w:name="_Toc374104367"/>
      <w:bookmarkStart w:id="191" w:name="_Toc520986941"/>
      <w:r>
        <w:rPr>
          <w:rFonts w:hint="eastAsia" w:ascii="宋体" w:hAnsi="宋体" w:eastAsia="宋体" w:cs="宋体"/>
          <w:b w:val="0"/>
          <w:bCs/>
          <w:sz w:val="28"/>
          <w:szCs w:val="28"/>
        </w:rPr>
        <w:t>3.3 型式试验</w:t>
      </w:r>
      <w:bookmarkEnd w:id="189"/>
      <w:bookmarkEnd w:id="190"/>
      <w:bookmarkEnd w:id="191"/>
    </w:p>
    <w:p>
      <w:pPr>
        <w:pStyle w:val="316"/>
        <w:numPr>
          <w:ilvl w:val="0"/>
          <w:numId w:val="0"/>
        </w:numPr>
        <w:rPr>
          <w:rFonts w:hint="eastAsia" w:ascii="宋体" w:hAnsi="宋体" w:eastAsia="宋体" w:cs="宋体"/>
          <w:sz w:val="24"/>
          <w:szCs w:val="24"/>
        </w:rPr>
      </w:pPr>
      <w:r>
        <w:rPr>
          <w:rFonts w:hint="eastAsia" w:ascii="宋体" w:hAnsi="宋体" w:eastAsia="宋体" w:cs="宋体"/>
          <w:sz w:val="24"/>
          <w:szCs w:val="24"/>
        </w:rPr>
        <w:t>1）预装式变电站在下列情况之一时，必须进行型式试验：</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A）新试制产品或转厂生产的老产品；</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B）产品更改结构、原材料或工艺方法，可能影响产品性能；</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C）例行试验结果与上次型式检验有较大差异。</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对未取得ISO9001质量认证的企业，其产品定期型式试验至少每五年应进行一次。</w:t>
      </w:r>
    </w:p>
    <w:p>
      <w:pPr>
        <w:pStyle w:val="316"/>
        <w:numPr>
          <w:ilvl w:val="0"/>
          <w:numId w:val="0"/>
        </w:numPr>
        <w:rPr>
          <w:rFonts w:hint="eastAsia" w:ascii="宋体" w:hAnsi="宋体" w:eastAsia="宋体" w:cs="宋体"/>
          <w:sz w:val="24"/>
          <w:szCs w:val="24"/>
        </w:rPr>
      </w:pPr>
      <w:r>
        <w:rPr>
          <w:rFonts w:hint="eastAsia" w:ascii="宋体" w:hAnsi="宋体" w:eastAsia="宋体" w:cs="宋体"/>
          <w:sz w:val="24"/>
          <w:szCs w:val="24"/>
        </w:rPr>
        <w:t>2）型式试验项目包括：</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A) 温升试验</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试验应在装配完整的预装式变电站上进行。门及电缆入口处应按使用条件予以封闭。试验回路应包括高压回路和变压器。</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预装式变电站的温升试验方法按GB1094的规定进行。</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C) 环网主回路短时热稳定电流和额定动稳定电流试验（按JB/T 10681）</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D) 防护等级试验</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试验应在装配完整的预装式变电站试品上进行，试验方法按GB4208的规定。</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92" w:name="_Toc156016652"/>
      <w:bookmarkStart w:id="193" w:name="_Toc165125338"/>
      <w:bookmarkStart w:id="194" w:name="_Toc6461"/>
      <w:bookmarkStart w:id="195" w:name="_Toc374104368"/>
      <w:bookmarkStart w:id="196" w:name="_Toc252017590"/>
      <w:bookmarkStart w:id="197" w:name="_Toc26649"/>
      <w:bookmarkStart w:id="198" w:name="_Toc520986942"/>
      <w:r>
        <w:rPr>
          <w:rFonts w:hint="eastAsia" w:ascii="宋体" w:hAnsi="宋体" w:eastAsia="宋体" w:cs="宋体"/>
          <w:b w:val="0"/>
          <w:bCs/>
          <w:sz w:val="28"/>
          <w:szCs w:val="28"/>
        </w:rPr>
        <w:t>3.4 特殊试验</w:t>
      </w:r>
      <w:bookmarkEnd w:id="192"/>
      <w:bookmarkEnd w:id="193"/>
      <w:bookmarkEnd w:id="194"/>
      <w:bookmarkEnd w:id="195"/>
      <w:bookmarkEnd w:id="196"/>
      <w:bookmarkEnd w:id="197"/>
      <w:bookmarkEnd w:id="198"/>
    </w:p>
    <w:p>
      <w:pPr>
        <w:spacing w:line="360" w:lineRule="auto"/>
        <w:ind w:firstLine="480" w:firstLineChars="200"/>
        <w:rPr>
          <w:rFonts w:hint="eastAsia" w:ascii="宋体" w:hAnsi="宋体" w:eastAsia="宋体" w:cs="宋体"/>
          <w:bCs/>
          <w:snapToGrid w:val="0"/>
          <w:sz w:val="24"/>
          <w:szCs w:val="24"/>
        </w:rPr>
      </w:pPr>
      <w:r>
        <w:rPr>
          <w:rFonts w:hint="eastAsia" w:ascii="宋体" w:hAnsi="宋体" w:eastAsia="宋体" w:cs="宋体"/>
          <w:bCs/>
          <w:snapToGrid w:val="0"/>
          <w:sz w:val="24"/>
          <w:szCs w:val="24"/>
        </w:rPr>
        <w:t>A）三相变压器零序阻抗测量（按JB/T 501）；</w:t>
      </w:r>
    </w:p>
    <w:p>
      <w:pPr>
        <w:spacing w:line="360" w:lineRule="auto"/>
        <w:ind w:firstLine="480" w:firstLineChars="200"/>
        <w:rPr>
          <w:rFonts w:hint="eastAsia" w:ascii="宋体" w:hAnsi="宋体" w:eastAsia="宋体" w:cs="宋体"/>
          <w:bCs/>
          <w:snapToGrid w:val="0"/>
          <w:sz w:val="24"/>
          <w:szCs w:val="24"/>
        </w:rPr>
      </w:pPr>
      <w:r>
        <w:rPr>
          <w:rFonts w:hint="eastAsia" w:ascii="宋体" w:hAnsi="宋体" w:eastAsia="宋体" w:cs="宋体"/>
          <w:bCs/>
          <w:snapToGrid w:val="0"/>
          <w:sz w:val="24"/>
          <w:szCs w:val="24"/>
        </w:rPr>
        <w:t>B）短路承受能力试验；</w:t>
      </w:r>
    </w:p>
    <w:p>
      <w:pPr>
        <w:spacing w:line="360" w:lineRule="auto"/>
        <w:ind w:firstLine="849" w:firstLineChars="354"/>
        <w:rPr>
          <w:rFonts w:hint="eastAsia" w:ascii="宋体" w:hAnsi="宋体" w:eastAsia="宋体" w:cs="宋体"/>
          <w:bCs/>
          <w:snapToGrid w:val="0"/>
          <w:sz w:val="24"/>
          <w:szCs w:val="24"/>
        </w:rPr>
      </w:pPr>
      <w:r>
        <w:rPr>
          <w:rFonts w:hint="eastAsia" w:ascii="宋体" w:hAnsi="宋体" w:eastAsia="宋体" w:cs="宋体"/>
          <w:bCs/>
          <w:snapToGrid w:val="0"/>
          <w:sz w:val="24"/>
          <w:szCs w:val="24"/>
        </w:rPr>
        <w:t>应在完整的预装式变电站上进行短路承受能力试验，试验方法按GB 1094.5的规定。试验前，熔断器应予以短接。</w:t>
      </w:r>
    </w:p>
    <w:p>
      <w:pPr>
        <w:spacing w:line="360" w:lineRule="auto"/>
        <w:ind w:firstLine="465"/>
        <w:rPr>
          <w:rFonts w:hint="eastAsia" w:ascii="宋体" w:hAnsi="宋体" w:eastAsia="宋体" w:cs="宋体"/>
          <w:bCs/>
          <w:snapToGrid w:val="0"/>
          <w:sz w:val="24"/>
          <w:szCs w:val="24"/>
        </w:rPr>
      </w:pPr>
      <w:r>
        <w:rPr>
          <w:rFonts w:hint="eastAsia" w:ascii="宋体" w:hAnsi="宋体" w:eastAsia="宋体" w:cs="宋体"/>
          <w:bCs/>
          <w:snapToGrid w:val="0"/>
          <w:sz w:val="24"/>
          <w:szCs w:val="24"/>
        </w:rPr>
        <w:t>C）声级测定（按GB/T 1094.10）；</w:t>
      </w:r>
    </w:p>
    <w:p>
      <w:pPr>
        <w:spacing w:line="360" w:lineRule="auto"/>
        <w:ind w:firstLine="465"/>
        <w:rPr>
          <w:rFonts w:hint="eastAsia" w:ascii="宋体" w:hAnsi="宋体" w:eastAsia="宋体" w:cs="宋体"/>
          <w:bCs/>
          <w:snapToGrid w:val="0"/>
          <w:sz w:val="24"/>
          <w:szCs w:val="24"/>
        </w:rPr>
      </w:pPr>
      <w:r>
        <w:rPr>
          <w:rFonts w:hint="eastAsia" w:ascii="宋体" w:hAnsi="宋体" w:eastAsia="宋体" w:cs="宋体"/>
          <w:bCs/>
          <w:snapToGrid w:val="0"/>
          <w:sz w:val="24"/>
          <w:szCs w:val="24"/>
        </w:rPr>
        <w:t>D）空载电流谐波测量（按JB/T 501）；</w:t>
      </w:r>
    </w:p>
    <w:p>
      <w:pPr>
        <w:spacing w:line="360" w:lineRule="auto"/>
        <w:ind w:firstLine="465"/>
        <w:rPr>
          <w:rFonts w:hint="eastAsia" w:ascii="宋体" w:hAnsi="宋体" w:eastAsia="宋体" w:cs="宋体"/>
          <w:bCs/>
          <w:snapToGrid w:val="0"/>
          <w:sz w:val="24"/>
          <w:szCs w:val="24"/>
        </w:rPr>
      </w:pPr>
      <w:r>
        <w:rPr>
          <w:rFonts w:hint="eastAsia" w:ascii="宋体" w:hAnsi="宋体" w:eastAsia="宋体" w:cs="宋体"/>
          <w:bCs/>
          <w:snapToGrid w:val="0"/>
          <w:sz w:val="24"/>
          <w:szCs w:val="24"/>
        </w:rPr>
        <w:t>E）防雨试验；</w:t>
      </w:r>
    </w:p>
    <w:p>
      <w:pPr>
        <w:spacing w:line="360" w:lineRule="auto"/>
        <w:ind w:firstLine="851"/>
        <w:rPr>
          <w:rFonts w:hint="eastAsia" w:ascii="宋体" w:hAnsi="宋体" w:eastAsia="宋体" w:cs="宋体"/>
          <w:bCs/>
          <w:snapToGrid w:val="0"/>
          <w:sz w:val="24"/>
          <w:szCs w:val="24"/>
        </w:rPr>
      </w:pPr>
      <w:r>
        <w:rPr>
          <w:rFonts w:hint="eastAsia" w:ascii="宋体" w:hAnsi="宋体" w:eastAsia="宋体" w:cs="宋体"/>
          <w:bCs/>
          <w:snapToGrid w:val="0"/>
          <w:sz w:val="24"/>
          <w:szCs w:val="24"/>
        </w:rPr>
        <w:t>应对装配完整的户外用的预装式变电站进行防雨试验，试验方法按GB/T 11022-1999中附录C的规定。</w:t>
      </w:r>
    </w:p>
    <w:bookmarkEnd w:id="180"/>
    <w:bookmarkEnd w:id="181"/>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199" w:name="_Toc185151553"/>
      <w:bookmarkStart w:id="200" w:name="_Toc520986943"/>
      <w:bookmarkStart w:id="201" w:name="_Toc374104369"/>
      <w:bookmarkStart w:id="202" w:name="_Toc241636745"/>
      <w:bookmarkStart w:id="203" w:name="_Toc255394716"/>
      <w:bookmarkStart w:id="204" w:name="_Toc8826"/>
      <w:r>
        <w:rPr>
          <w:rFonts w:hint="eastAsia" w:ascii="宋体" w:hAnsi="宋体" w:eastAsia="宋体" w:cs="宋体"/>
          <w:b w:val="0"/>
          <w:bCs/>
          <w:sz w:val="28"/>
          <w:szCs w:val="28"/>
        </w:rPr>
        <w:t>3.</w:t>
      </w:r>
      <w:r>
        <w:rPr>
          <w:rFonts w:hint="eastAsia" w:ascii="宋体" w:hAnsi="宋体" w:cs="宋体"/>
          <w:b w:val="0"/>
          <w:bCs/>
          <w:sz w:val="28"/>
          <w:szCs w:val="28"/>
          <w:lang w:val="en-US" w:eastAsia="zh-CN"/>
        </w:rPr>
        <w:t>5</w:t>
      </w:r>
      <w:r>
        <w:rPr>
          <w:rFonts w:hint="eastAsia" w:ascii="宋体" w:hAnsi="宋体" w:eastAsia="宋体" w:cs="宋体"/>
          <w:b w:val="0"/>
          <w:bCs/>
          <w:sz w:val="28"/>
          <w:szCs w:val="28"/>
        </w:rPr>
        <w:t xml:space="preserve"> 现场交接试验</w:t>
      </w:r>
      <w:bookmarkEnd w:id="199"/>
      <w:bookmarkEnd w:id="200"/>
      <w:bookmarkEnd w:id="201"/>
      <w:bookmarkEnd w:id="202"/>
      <w:bookmarkEnd w:id="203"/>
      <w:bookmarkEnd w:id="204"/>
    </w:p>
    <w:p>
      <w:pPr>
        <w:spacing w:line="360" w:lineRule="auto"/>
        <w:ind w:firstLine="465"/>
        <w:rPr>
          <w:rFonts w:hint="eastAsia" w:ascii="宋体" w:hAnsi="宋体" w:eastAsia="宋体" w:cs="宋体"/>
          <w:snapToGrid w:val="0"/>
          <w:kern w:val="0"/>
          <w:sz w:val="24"/>
          <w:szCs w:val="24"/>
        </w:rPr>
      </w:pPr>
      <w:r>
        <w:rPr>
          <w:rFonts w:hint="eastAsia" w:ascii="宋体" w:hAnsi="宋体" w:eastAsia="宋体" w:cs="宋体"/>
          <w:sz w:val="24"/>
          <w:szCs w:val="24"/>
        </w:rPr>
        <w:t>按</w:t>
      </w:r>
      <w:r>
        <w:rPr>
          <w:rFonts w:hint="eastAsia" w:ascii="宋体" w:hAnsi="宋体" w:eastAsia="宋体" w:cs="宋体"/>
          <w:snapToGrid w:val="0"/>
          <w:kern w:val="0"/>
          <w:sz w:val="24"/>
          <w:szCs w:val="24"/>
        </w:rPr>
        <w:t>GB50150《电气装置安装工程电气设备交接试验标准》执行。</w:t>
      </w:r>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05" w:name="_Toc1389"/>
      <w:r>
        <w:rPr>
          <w:rFonts w:hint="eastAsia" w:ascii="宋体" w:hAnsi="宋体" w:eastAsia="宋体" w:cs="宋体"/>
          <w:highlight w:val="none"/>
        </w:rPr>
        <w:t xml:space="preserve">4 </w:t>
      </w:r>
      <w:bookmarkStart w:id="206" w:name="_Toc420933120"/>
      <w:bookmarkStart w:id="207" w:name="_Toc24064"/>
      <w:bookmarkStart w:id="208" w:name="_Toc368303724"/>
      <w:r>
        <w:rPr>
          <w:rFonts w:hint="eastAsia" w:ascii="宋体" w:hAnsi="宋体" w:eastAsia="宋体" w:cs="宋体"/>
          <w:highlight w:val="none"/>
        </w:rPr>
        <w:t xml:space="preserve"> 设备监造（检验）和性能验收试验</w:t>
      </w:r>
      <w:bookmarkEnd w:id="205"/>
      <w:bookmarkEnd w:id="206"/>
      <w:bookmarkEnd w:id="207"/>
      <w:bookmarkEnd w:id="208"/>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09" w:name="_Toc26130"/>
      <w:bookmarkStart w:id="210" w:name="_Toc26947"/>
      <w:bookmarkStart w:id="211" w:name="_Toc420933121"/>
      <w:bookmarkStart w:id="212" w:name="_Toc368303725"/>
      <w:r>
        <w:rPr>
          <w:rFonts w:hint="eastAsia" w:ascii="宋体" w:hAnsi="宋体" w:eastAsia="宋体" w:cs="宋体"/>
          <w:b w:val="0"/>
          <w:bCs/>
          <w:sz w:val="28"/>
          <w:szCs w:val="28"/>
        </w:rPr>
        <w:t>4.1  概述</w:t>
      </w:r>
      <w:bookmarkEnd w:id="209"/>
      <w:bookmarkEnd w:id="210"/>
      <w:bookmarkEnd w:id="211"/>
      <w:bookmarkEnd w:id="212"/>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1)本技术规格书用于合同执行期间对乙方所提供的设备（包括对分包外购设备）进行检验、监造和性能验收试验，确保乙方所提供的设备符合技术规格书规定的要求。</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2)乙方应在合同生效后1个月内，向甲方提供与本合同设备有关的监造、检验、性能验收试验标准。有关标准应符合本技术规格书的规定。</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13" w:name="_Toc12056"/>
      <w:bookmarkStart w:id="214" w:name="_Toc420933122"/>
      <w:bookmarkStart w:id="215" w:name="_Toc368303726"/>
      <w:bookmarkStart w:id="216" w:name="_Toc15775"/>
      <w:r>
        <w:rPr>
          <w:rFonts w:hint="eastAsia" w:ascii="宋体" w:hAnsi="宋体" w:eastAsia="宋体" w:cs="宋体"/>
          <w:b w:val="0"/>
          <w:bCs/>
          <w:sz w:val="28"/>
          <w:szCs w:val="28"/>
        </w:rPr>
        <w:t>4.2  检验和监造</w:t>
      </w:r>
      <w:bookmarkEnd w:id="213"/>
      <w:bookmarkEnd w:id="214"/>
      <w:bookmarkEnd w:id="215"/>
      <w:bookmarkEnd w:id="216"/>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1)甲方有权派遣其检验人员到乙方及其分包商的车间场所, 对合同设备的加工制造进行检验和监造。甲方将为此目的而派遣的代表的身份以书面形式通知乙方。</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2) 如有合同设备经检验和试验不符合技术协议的要求,甲方可以拒收, 乙方应更换被拒收的货物,或进行必要的改造使之符合技术协议的要求,甲方不承担上述的费用。</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3)甲方对货物运到甲方所在地以后有进行检验、试验和拒收(如果必要时)的权利,不得因该货物在原产地发运以前已经由甲方或其代表进行过监造和检验并已通过作为理由而受到限制。甲方人员参加工厂试验,包括会签任何试验结果,既不免除乙方按合同规定应负的责任,也不能代替合同设备到达现场后甲方对其进行的检验。</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4) 甲方有权派遣技术人员到乙方的生产车间对合同设备的加工制造进行检验和监造，乙方应无条件配合，不得以任何理由拒绝。中标一周内指定项目经理，设备供应商在签订合同一周内提交有其具体生产工作负责人签字确认的设备质量情况及其供货进度的书面材料。建立周报制度，周报用于各方沟通一周来设备制造、质量控制和生产进度等方面的情况，及其供货过程中发生的问题以及相应的预防和纠正措施。制造单位及安装单位应向甲方和监造方提供生产进度计划及质量检验计划。在预定见证日期以前(H点10天，W点7天)通知甲方和监造方。若甲方不派代表参加设备的监造和性能验收，乙方应在接到甲方关于不派遣代表到乙方工厂的通知后，自行组织检验。乙方自行组织的监造和性能验收要真实、全面并将自检结果以书面形式向甲方报告。</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5)监造者有权到生产合同设备的车间和部门了解生产信息，并提出监造中发现的问题(如有)。</w:t>
      </w:r>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17" w:name="_Toc368303729"/>
      <w:bookmarkStart w:id="218" w:name="_Toc10555"/>
      <w:bookmarkStart w:id="219" w:name="_Toc420933125"/>
      <w:bookmarkStart w:id="220" w:name="_Toc3873"/>
      <w:r>
        <w:rPr>
          <w:rFonts w:hint="eastAsia" w:ascii="宋体" w:hAnsi="宋体" w:eastAsia="宋体" w:cs="宋体"/>
          <w:highlight w:val="none"/>
        </w:rPr>
        <w:t>5  项目管理</w:t>
      </w:r>
      <w:bookmarkEnd w:id="217"/>
      <w:bookmarkEnd w:id="218"/>
      <w:bookmarkEnd w:id="219"/>
      <w:bookmarkEnd w:id="220"/>
    </w:p>
    <w:p>
      <w:pPr>
        <w:spacing w:line="360" w:lineRule="auto"/>
        <w:ind w:firstLine="480"/>
        <w:rPr>
          <w:rFonts w:hint="eastAsia" w:ascii="宋体" w:hAnsi="宋体" w:eastAsia="宋体" w:cs="宋体"/>
          <w:sz w:val="24"/>
        </w:rPr>
      </w:pPr>
      <w:r>
        <w:rPr>
          <w:rFonts w:hint="eastAsia" w:ascii="宋体" w:hAnsi="宋体" w:eastAsia="宋体" w:cs="宋体"/>
          <w:sz w:val="24"/>
        </w:rPr>
        <w:t>合同签定后，乙方应指定负责本工程的项目经理,负责协调乙方在工程全过程的各项工作,如工程进度、设计制造、图纸文件、包装运输、配合现场安装、调试验收等。</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21" w:name="_Toc531254254"/>
      <w:bookmarkStart w:id="222" w:name="_Toc420933126"/>
      <w:bookmarkStart w:id="223" w:name="_Toc531254313"/>
      <w:bookmarkStart w:id="224" w:name="_Toc1095"/>
      <w:bookmarkStart w:id="225" w:name="_Toc515706743"/>
      <w:bookmarkStart w:id="226" w:name="_Toc23241093"/>
      <w:bookmarkStart w:id="227" w:name="_Toc517856764"/>
      <w:bookmarkStart w:id="228" w:name="_Toc531253896"/>
      <w:bookmarkStart w:id="229" w:name="_Toc515726449"/>
      <w:bookmarkStart w:id="230" w:name="_Toc368303730"/>
      <w:bookmarkStart w:id="231" w:name="_Toc24359"/>
      <w:bookmarkStart w:id="232" w:name="_Toc23611681"/>
      <w:bookmarkStart w:id="233" w:name="_Toc3900904"/>
      <w:bookmarkStart w:id="234" w:name="_Toc531253242"/>
      <w:bookmarkStart w:id="235" w:name="_Hlt531253907"/>
      <w:r>
        <w:rPr>
          <w:rFonts w:hint="eastAsia" w:ascii="宋体" w:hAnsi="宋体" w:eastAsia="宋体" w:cs="宋体"/>
          <w:b w:val="0"/>
          <w:bCs/>
          <w:sz w:val="28"/>
          <w:szCs w:val="28"/>
        </w:rPr>
        <w:t xml:space="preserve">5.1 </w:t>
      </w:r>
      <w:bookmarkStart w:id="236" w:name="_Toc520174611"/>
      <w:r>
        <w:rPr>
          <w:rFonts w:hint="eastAsia" w:ascii="宋体" w:hAnsi="宋体" w:eastAsia="宋体" w:cs="宋体"/>
          <w:b w:val="0"/>
          <w:bCs/>
          <w:sz w:val="28"/>
          <w:szCs w:val="28"/>
        </w:rPr>
        <w:t xml:space="preserve"> 现场技术服务</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6"/>
    </w:p>
    <w:bookmarkEnd w:id="235"/>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甲方负责设备的安装，而乙方则负责安装指导和调试。故乙方必须派出工程师来完成该项工作。在设备安装过程中乙方应派有经验的技术人员常住现场。常住人员协助甲方按标准检查安装质量，处理调试投运过程中出现的问题。乙方应选派有经验的技术人员，对安装和运行人员免费培训。</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5.1.1  乙方现场服务人员应具有下列资质：</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1） 遵守法纪，遵守现场的各项规章和制度；</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2） 有较强的责任感和事业心，按时到位；</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3） 了解合同设备的设计，熟悉其结构，有相同或相近机组的现场工作经验，能够正确地进行现场指导；</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4） 身体健康，适应现场工作的条件。</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5.1.2  乙方现场服务人员的职责</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1） 乙方现场服务人员的任务主要包括设备催交、货物的开箱检验、设备质量问题的处理、指导安装和调试、参加试运和性能验收试验；</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2） 在安装和调试前，乙方技术服务人员应向甲方技术人员讲解和示范将要进行的程序和方法。对重要工序，乙方技术人员要对施工情况进行确认和签证，否则甲方不能进行下一道工序。</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5.1.3  甲方的义务</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甲方要配合乙方现场服务人员的工作，并在生活、交通和通讯上提供方便。</w:t>
      </w:r>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37" w:name="_Toc10114"/>
      <w:bookmarkStart w:id="238" w:name="_Toc7932"/>
      <w:bookmarkStart w:id="239" w:name="_Toc368303731"/>
      <w:bookmarkStart w:id="240" w:name="_Toc420933127"/>
      <w:r>
        <w:rPr>
          <w:rFonts w:hint="eastAsia" w:ascii="宋体" w:hAnsi="宋体" w:eastAsia="宋体" w:cs="宋体"/>
          <w:highlight w:val="none"/>
        </w:rPr>
        <w:t>6 培训</w:t>
      </w:r>
      <w:bookmarkEnd w:id="237"/>
      <w:bookmarkEnd w:id="238"/>
      <w:bookmarkEnd w:id="239"/>
      <w:bookmarkEnd w:id="240"/>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1）为保证合同设备的正常运行，乙方应安排1次对甲方人员的技术培训，培训以甲方技术人员签字认可培训效果为达标依据，如果有甲方受训人员以培训效果差为由拒绝签字认可，乙方应继续对其进行培训，直到甲方技术人员签字认可培训效果为止。培训费用已包含在合同总价中。培训的具体细节由招、投标双方商定。</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（2）乙方应指派熟练、称职的技术人员，对甲方技术人员进行指导和培训，并解释本合同范围内所有技术问题。技术培训技术资料由乙方负责整理及编制。</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（3）乙方应保证甲方技术人员在不同岗位工作和受训，使他们能够了解和掌握设备的操作、检验、修理和维护等技术。培训应理论和实际操作，检修相结合，且乙方提供必需的工器具。</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（4）培训开始前，乙方应向甲方技术人员详细阐明与工作有关的规定和注意事项。</w:t>
      </w:r>
    </w:p>
    <w:p>
      <w:pPr>
        <w:pStyle w:val="316"/>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（5）在得到甲方所有参训人员的培训效果认可签字后，培训结束。培训结束后，乙方应给甲方出具证书，以证明培训结束</w:t>
      </w:r>
    </w:p>
    <w:p>
      <w:pPr>
        <w:pStyle w:val="316"/>
        <w:numPr>
          <w:ilvl w:val="0"/>
          <w:numId w:val="0"/>
        </w:num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rPr>
        <w:t>（6）乙方为甲方培训人员提供设备、场地、资料等培训条件，并提供食宿和交</w:t>
      </w:r>
      <w:r>
        <w:rPr>
          <w:rFonts w:hint="eastAsia" w:ascii="宋体" w:hAnsi="宋体" w:eastAsia="宋体" w:cs="宋体"/>
          <w:sz w:val="24"/>
          <w:szCs w:val="24"/>
          <w:highlight w:val="none"/>
        </w:rPr>
        <w:t>通方便。</w:t>
      </w:r>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41" w:name="_Toc505586174"/>
      <w:bookmarkStart w:id="242" w:name="_Toc287334670"/>
      <w:bookmarkStart w:id="243" w:name="_Toc394322412"/>
      <w:bookmarkStart w:id="244" w:name="_Toc14014"/>
      <w:bookmarkStart w:id="245" w:name="_Toc415492936"/>
      <w:r>
        <w:rPr>
          <w:rFonts w:hint="eastAsia" w:ascii="宋体" w:hAnsi="宋体" w:eastAsia="宋体" w:cs="宋体"/>
          <w:highlight w:val="none"/>
        </w:rPr>
        <w:t>7</w:t>
      </w:r>
      <w:r>
        <w:rPr>
          <w:rFonts w:hint="eastAsia" w:ascii="宋体" w:hAnsi="宋体" w:eastAsia="宋体" w:cs="宋体"/>
          <w:highlight w:val="none"/>
          <w:lang w:val="en-US" w:eastAsia="zh-CN"/>
        </w:rPr>
        <w:t xml:space="preserve"> </w:t>
      </w:r>
      <w:r>
        <w:rPr>
          <w:rFonts w:hint="eastAsia" w:ascii="宋体" w:hAnsi="宋体" w:eastAsia="宋体" w:cs="宋体"/>
          <w:highlight w:val="none"/>
        </w:rPr>
        <w:t>质保</w:t>
      </w:r>
      <w:bookmarkEnd w:id="241"/>
      <w:bookmarkEnd w:id="242"/>
      <w:bookmarkEnd w:id="243"/>
      <w:bookmarkEnd w:id="244"/>
      <w:bookmarkEnd w:id="245"/>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kern w:val="0"/>
          <w:sz w:val="24"/>
          <w:highlight w:val="none"/>
        </w:rPr>
        <w:t>7.1</w:t>
      </w:r>
      <w:r>
        <w:rPr>
          <w:rFonts w:hint="eastAsia" w:ascii="宋体" w:hAnsi="宋体" w:eastAsia="宋体" w:cs="宋体"/>
          <w:sz w:val="24"/>
          <w:highlight w:val="none"/>
        </w:rPr>
        <w:t>供方需说明质保机构设置及职责。</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kern w:val="0"/>
          <w:sz w:val="24"/>
          <w:highlight w:val="none"/>
        </w:rPr>
        <w:t>7.2</w:t>
      </w:r>
      <w:r>
        <w:rPr>
          <w:rFonts w:hint="eastAsia" w:ascii="宋体" w:hAnsi="宋体" w:eastAsia="宋体" w:cs="宋体"/>
          <w:sz w:val="24"/>
          <w:highlight w:val="none"/>
        </w:rPr>
        <w:t>供方需提供质量管理程序清单。</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kern w:val="0"/>
          <w:sz w:val="24"/>
          <w:highlight w:val="none"/>
        </w:rPr>
        <w:t>7.3</w:t>
      </w:r>
      <w:r>
        <w:rPr>
          <w:rFonts w:hint="eastAsia" w:ascii="宋体" w:hAnsi="宋体" w:eastAsia="宋体" w:cs="宋体"/>
          <w:sz w:val="24"/>
          <w:highlight w:val="none"/>
        </w:rPr>
        <w:t>供方需提供有效的ISO9001：2008质量管理体系认证文件。</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kern w:val="0"/>
          <w:sz w:val="24"/>
          <w:highlight w:val="none"/>
        </w:rPr>
        <w:t>7.3.1</w:t>
      </w:r>
      <w:r>
        <w:rPr>
          <w:rFonts w:hint="eastAsia" w:ascii="宋体" w:hAnsi="宋体" w:eastAsia="宋体" w:cs="宋体"/>
          <w:sz w:val="24"/>
          <w:highlight w:val="none"/>
        </w:rPr>
        <w:t>供方需说明质保期限，质保期应自设备试运行合格后算起，最低质保期限不应低于5年并作为合同条款。</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※7.3.2质量保证期内，由于供方设备的质量问题而造成停运等故障的，供方应负责尽快更换有缺陷或损坏的部件。</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※7.3.3供方从其它工厂采购的设备所发生的一切质量问题应由供方负责。</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7.3.4供方对所供设备内所有元器件和材料等的正确使用负责，因元器件和材料等错误使用或使用不当等原因造成的设备损坏，供方应负责及时处理，由此对需方造成的所有损失由供方承担，如果需方要求退货，供方必须无条件退货。</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7.3.5需方对供方设备的现场验收或其他任何形式的验收，都不能免除供方产品必须满足技术协议或相关国家、行业安全和性能标准要求所负的责任。在供应产品的寿命期内，无论何时，一旦发现供方产品不符合技术协议或相关国家、行业安全或性能标准要求（技术协议要求如与相关国家、行业安全和性能标准要求不一致时，按较高标准执行。），需方可以要求供方退货或整改，供方必须无条件退货或按要求整改，由此对需方造成的所有损失由供方承担。</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7.4需方对供方设备的现场验收或其他任何形式的验收，都不能免除供方产品必须满足技术协议或相关国家、行业安全和性能标准要求所负的责任。</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7.5供方需说明质量保证期内的服务计划及质量保证期后的服务计划。</w:t>
      </w:r>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46" w:name="_Toc415492937"/>
      <w:bookmarkStart w:id="247" w:name="_Toc287334648"/>
      <w:bookmarkStart w:id="248" w:name="_Toc394322413"/>
      <w:bookmarkStart w:id="249" w:name="_Toc505586175"/>
      <w:bookmarkStart w:id="250" w:name="_Toc23411"/>
      <w:r>
        <w:rPr>
          <w:rFonts w:hint="eastAsia" w:ascii="宋体" w:hAnsi="宋体" w:eastAsia="宋体" w:cs="宋体"/>
          <w:highlight w:val="none"/>
        </w:rPr>
        <w:t>8 产品售后服务和赔偿</w:t>
      </w:r>
      <w:bookmarkEnd w:id="246"/>
      <w:bookmarkEnd w:id="247"/>
      <w:bookmarkEnd w:id="248"/>
      <w:bookmarkEnd w:id="249"/>
      <w:bookmarkEnd w:id="250"/>
    </w:p>
    <w:p>
      <w:pPr>
        <w:tabs>
          <w:tab w:val="left" w:pos="7080"/>
        </w:tabs>
        <w:spacing w:line="360" w:lineRule="auto"/>
        <w:rPr>
          <w:rFonts w:hint="eastAsia" w:ascii="宋体" w:hAnsi="宋体" w:eastAsia="宋体" w:cs="宋体"/>
          <w:sz w:val="24"/>
          <w:highlight w:val="none"/>
        </w:rPr>
      </w:pPr>
      <w:bookmarkStart w:id="251" w:name="_Toc287334649"/>
      <w:r>
        <w:rPr>
          <w:rFonts w:hint="eastAsia" w:ascii="宋体" w:hAnsi="宋体" w:eastAsia="宋体" w:cs="宋体"/>
          <w:sz w:val="24"/>
          <w:highlight w:val="none"/>
        </w:rPr>
        <w:t>※</w:t>
      </w:r>
      <w:r>
        <w:rPr>
          <w:rFonts w:hint="eastAsia" w:ascii="宋体" w:hAnsi="宋体" w:eastAsia="宋体" w:cs="宋体"/>
          <w:kern w:val="0"/>
          <w:sz w:val="24"/>
          <w:highlight w:val="none"/>
        </w:rPr>
        <w:t>8.1</w:t>
      </w:r>
      <w:r>
        <w:rPr>
          <w:rFonts w:hint="eastAsia" w:ascii="宋体" w:hAnsi="宋体" w:eastAsia="宋体" w:cs="宋体"/>
          <w:sz w:val="24"/>
          <w:highlight w:val="none"/>
        </w:rPr>
        <w:t>为保证售后服务时间和质量，供方应保证所供设备的所有零部件都可以在其国内工厂或代理商处获得，供方应在协议中详细列出其售后服务专用备品备件的详细资料及数量，供方所列售后服务专用备品备件由需方备案。售后服务中，不能出现以故障设备在国内缺乏零部件为由延迟维修的情况，如果出现，则对需方造成的工期延误、劳务费用、发电量和信誉等损失由供方负责赔偿。</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kern w:val="0"/>
          <w:sz w:val="24"/>
          <w:highlight w:val="none"/>
        </w:rPr>
        <w:t>8.2</w:t>
      </w:r>
      <w:r>
        <w:rPr>
          <w:rFonts w:hint="eastAsia" w:ascii="宋体" w:hAnsi="宋体" w:eastAsia="宋体" w:cs="宋体"/>
          <w:sz w:val="24"/>
          <w:highlight w:val="none"/>
        </w:rPr>
        <w:t>为保证售后服务时间和质量，供方应保证能够解决所供设备故障问题的国内技术人员的数量和能力并在协议中明确说明。供方应在协议中详细列出其具备故障修复能力的售后服务人员的具体数量，供方所列售后服务人员的数量由需方备案。售后服务中，不应出现以国内缺乏能解决问题的技术人员为由延迟维修的情况，如果出现，则对需方造成的工期延误、劳务费用、发电量和信誉等损失由供方负责赔偿。</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kern w:val="0"/>
          <w:sz w:val="24"/>
          <w:highlight w:val="none"/>
        </w:rPr>
        <w:t>8.3</w:t>
      </w:r>
      <w:r>
        <w:rPr>
          <w:rFonts w:hint="eastAsia" w:ascii="宋体" w:hAnsi="宋体" w:eastAsia="宋体" w:cs="宋体"/>
          <w:sz w:val="24"/>
          <w:highlight w:val="none"/>
        </w:rPr>
        <w:t>设备到场后，从需方发出设备安装指导、调试通知算起，因供方原因超出供方在协议上承诺的安装调试期限而对需方造成的工期延误、劳务费用、发电量和信誉等损失，由供方负责赔偿。</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8.4认证机构针对供应产品的安全认证和功能认证并不能完全保证产品的实际质量和可靠性，供方对供应产品的质量和可靠性负有不可推卸的责任。当产品出现故障时，供方应保证24小时内有能力解决问题的技术人员到达现场，供方技术人员对故障设备的完全修复时间不能大于48小时。从需方发出故障通知算起，因设备修复时间超过72小时对需方造成的工期延误、劳务费用、发电量和信誉等损失，由供方负责赔偿。由于设备质量问题存在生产安全隐患的，供方应保证在需方通知7日内处理完毕，超过7天按设备故障损失电量处理，造成的工期延误、劳务费用、电量及信誉等损失，由供方负责。</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※8.5作为风力电站的核心设备，供方提供的箱变设备的年故障率不能大于1%，因设备年故障率超过1%对需方造成的工期延误、劳务费用、发电量和信誉等损失，由供方负责赔偿。</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kern w:val="0"/>
          <w:sz w:val="24"/>
          <w:highlight w:val="none"/>
        </w:rPr>
        <w:t>8.6</w:t>
      </w:r>
      <w:r>
        <w:rPr>
          <w:rFonts w:hint="eastAsia" w:ascii="宋体" w:hAnsi="宋体" w:eastAsia="宋体" w:cs="宋体"/>
          <w:sz w:val="24"/>
          <w:highlight w:val="none"/>
        </w:rPr>
        <w:t>作为负责任的产品供应商，供方有责任在产品出现重大性能、设计、制造工艺和可靠性缺陷时召回相关产品。如果单台设备在一年内故障次数大于2次或单台设备在一年内的总修复时间大于10个自然日或产品性能不满足相关标准、技术协议等的要求，需方可以要求更换产品或无条件退货，供方应无条件免费更换并承担相关费用或无条件退货。由此对需方造成的设备、劳务费用、发电量和信誉等损失，由供方负责赔偿。</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kern w:val="0"/>
          <w:sz w:val="24"/>
          <w:highlight w:val="none"/>
        </w:rPr>
        <w:t>8.7</w:t>
      </w:r>
      <w:r>
        <w:rPr>
          <w:rFonts w:hint="eastAsia" w:ascii="宋体" w:hAnsi="宋体" w:eastAsia="宋体" w:cs="宋体"/>
          <w:sz w:val="24"/>
          <w:highlight w:val="none"/>
        </w:rPr>
        <w:t>供方的升压变压器如果发生不满足技术要求的情况，除无条件退货、赔偿对需方造成的实际发电量和信誉等损失外，需方有权追究供方的相关责任。</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kern w:val="0"/>
          <w:sz w:val="24"/>
          <w:highlight w:val="none"/>
        </w:rPr>
        <w:t>8.8</w:t>
      </w:r>
      <w:r>
        <w:rPr>
          <w:rFonts w:hint="eastAsia" w:ascii="宋体" w:hAnsi="宋体" w:eastAsia="宋体" w:cs="宋体"/>
          <w:sz w:val="24"/>
          <w:highlight w:val="none"/>
        </w:rPr>
        <w:t>在产品的整个使用寿命中，因供方服务原因造成升压变压器备品备件等不足而引起的需方发电量损失由供方负责赔偿。</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※8.9 在产品的整个使用寿命中，供方必须保证成套设备拥有充足的备品备件。</w:t>
      </w:r>
    </w:p>
    <w:p>
      <w:pPr>
        <w:tabs>
          <w:tab w:val="left" w:pos="7080"/>
        </w:tabs>
        <w:spacing w:line="360" w:lineRule="auto"/>
        <w:rPr>
          <w:rFonts w:hint="eastAsia" w:ascii="宋体" w:hAnsi="宋体" w:eastAsia="宋体" w:cs="宋体"/>
          <w:sz w:val="24"/>
          <w:highlight w:val="none"/>
        </w:rPr>
      </w:pPr>
      <w:r>
        <w:rPr>
          <w:rFonts w:hint="eastAsia" w:ascii="宋体" w:hAnsi="宋体" w:eastAsia="宋体" w:cs="宋体"/>
          <w:sz w:val="24"/>
          <w:highlight w:val="none"/>
        </w:rPr>
        <w:t>※8.10供方的并网逆变器成套设备到达现场后不允许发生不能工作或工作不正常的情况。</w:t>
      </w:r>
    </w:p>
    <w:bookmarkEnd w:id="251"/>
    <w:p>
      <w:pPr>
        <w:pStyle w:val="72"/>
        <w:spacing w:before="60"/>
        <w:jc w:val="left"/>
        <w:rPr>
          <w:rFonts w:hint="eastAsia" w:ascii="宋体" w:hAnsi="宋体" w:eastAsia="宋体" w:cs="宋体"/>
          <w:highlight w:val="none"/>
        </w:rPr>
      </w:pPr>
      <w:bookmarkStart w:id="252" w:name="_Toc394322414"/>
      <w:bookmarkStart w:id="253" w:name="_Toc505586176"/>
      <w:bookmarkStart w:id="254" w:name="_Toc415492938"/>
      <w:bookmarkStart w:id="255" w:name="_Toc32397"/>
      <w:r>
        <w:rPr>
          <w:rFonts w:hint="eastAsia" w:ascii="宋体" w:hAnsi="宋体" w:eastAsia="宋体" w:cs="宋体"/>
          <w:highlight w:val="none"/>
        </w:rPr>
        <w:t>9产品使用寿命及其寿命期内的技术服务</w:t>
      </w:r>
      <w:bookmarkEnd w:id="252"/>
      <w:bookmarkEnd w:id="253"/>
      <w:bookmarkEnd w:id="254"/>
      <w:bookmarkEnd w:id="255"/>
    </w:p>
    <w:p>
      <w:pPr>
        <w:tabs>
          <w:tab w:val="left" w:pos="708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供应设备的实际使用寿命应不小于30年，设备外壳的防腐蚀年限不应小于30年。</w:t>
      </w:r>
    </w:p>
    <w:p>
      <w:pPr>
        <w:tabs>
          <w:tab w:val="left" w:pos="708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作为负责任的产品供应商，如果产品中用到风机等寿命较短的元器件，供方有责任在产品的整个使用寿命内向需方提供详细的维护、更换、收费计划（例如定期的年度巡检、更换风机等），该维护、更换服务应贯穿产品的整个使用寿命周期。</w:t>
      </w:r>
    </w:p>
    <w:p>
      <w:pPr>
        <w:tabs>
          <w:tab w:val="left" w:pos="7080"/>
        </w:tabs>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在产品的整个使用寿命中，因供方服务原因造成风机等短寿命器件寿命终结造成的故障和因此对需方造成的发电量和信誉等损失，由供方负责免费维修并赔偿。</w:t>
      </w:r>
    </w:p>
    <w:p>
      <w:pPr>
        <w:pStyle w:val="316"/>
        <w:numPr>
          <w:ilvl w:val="0"/>
          <w:numId w:val="0"/>
        </w:numPr>
        <w:ind w:firstLine="480" w:firstLineChars="200"/>
        <w:rPr>
          <w:rFonts w:hint="eastAsia" w:ascii="宋体" w:hAnsi="宋体" w:eastAsia="宋体" w:cs="宋体"/>
          <w:sz w:val="24"/>
          <w:szCs w:val="24"/>
          <w:highlight w:val="none"/>
        </w:rPr>
      </w:pPr>
      <w:r>
        <w:rPr>
          <w:rFonts w:hint="eastAsia" w:ascii="宋体" w:hAnsi="宋体" w:eastAsia="宋体" w:cs="宋体"/>
          <w:sz w:val="24"/>
          <w:highlight w:val="none"/>
        </w:rPr>
        <w:t>供方有责任根据设备的实际使用环境提供有针对性的设备巡检和维护计划，因供方服务原因造成升压变压器故障和问题的，由供方负责免费维修，对需方造成的发电量和信誉等损失，由供方负责赔偿</w:t>
      </w:r>
      <w:r>
        <w:rPr>
          <w:rFonts w:hint="eastAsia" w:ascii="宋体" w:hAnsi="宋体" w:eastAsia="宋体" w:cs="宋体"/>
          <w:sz w:val="24"/>
          <w:szCs w:val="24"/>
          <w:highlight w:val="none"/>
        </w:rPr>
        <w:t>。</w:t>
      </w:r>
    </w:p>
    <w:p>
      <w:pPr>
        <w:pStyle w:val="4"/>
        <w:spacing w:before="120" w:beforeLines="50" w:after="120" w:afterLines="50" w:line="360" w:lineRule="auto"/>
        <w:jc w:val="center"/>
        <w:rPr>
          <w:rFonts w:hint="eastAsia" w:ascii="宋体" w:hAnsi="宋体" w:eastAsia="宋体" w:cs="宋体"/>
          <w:b w:val="0"/>
          <w:sz w:val="40"/>
          <w:szCs w:val="52"/>
        </w:rPr>
      </w:pPr>
      <w:bookmarkStart w:id="256" w:name="_Toc520986944"/>
      <w:bookmarkStart w:id="257" w:name="_Toc2113"/>
      <w:r>
        <w:rPr>
          <w:rFonts w:hint="eastAsia" w:ascii="宋体" w:hAnsi="宋体" w:eastAsia="宋体" w:cs="宋体"/>
          <w:b w:val="0"/>
          <w:sz w:val="40"/>
          <w:szCs w:val="52"/>
        </w:rPr>
        <w:t>第二部分  专用技术规范</w:t>
      </w:r>
      <w:bookmarkEnd w:id="256"/>
      <w:bookmarkEnd w:id="257"/>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default" w:ascii="宋体" w:hAnsi="宋体" w:eastAsia="宋体" w:cs="宋体"/>
          <w:highlight w:val="none"/>
          <w:lang w:val="en-US" w:eastAsia="zh-CN"/>
        </w:rPr>
      </w:pPr>
      <w:bookmarkStart w:id="258" w:name="_Toc382830692"/>
      <w:bookmarkStart w:id="259" w:name="_Toc349565668"/>
      <w:bookmarkStart w:id="260" w:name="_Toc24078"/>
      <w:bookmarkStart w:id="261" w:name="_Toc520986945"/>
      <w:r>
        <w:rPr>
          <w:rFonts w:hint="eastAsia" w:ascii="宋体" w:hAnsi="宋体" w:eastAsia="宋体" w:cs="宋体"/>
          <w:highlight w:val="none"/>
        </w:rPr>
        <w:t xml:space="preserve">1 </w:t>
      </w:r>
      <w:bookmarkEnd w:id="258"/>
      <w:bookmarkEnd w:id="259"/>
      <w:bookmarkEnd w:id="260"/>
      <w:bookmarkEnd w:id="261"/>
      <w:r>
        <w:rPr>
          <w:rFonts w:hint="eastAsia" w:ascii="宋体" w:hAnsi="宋体" w:cs="宋体"/>
          <w:highlight w:val="none"/>
          <w:lang w:val="en-US" w:eastAsia="zh-CN"/>
        </w:rPr>
        <w:t>环境条件</w:t>
      </w:r>
    </w:p>
    <w:p>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附表1   使用条件</w:t>
      </w:r>
    </w:p>
    <w:tbl>
      <w:tblPr>
        <w:tblStyle w:val="7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1808"/>
        <w:gridCol w:w="2806"/>
        <w:gridCol w:w="1313"/>
        <w:gridCol w:w="219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8"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bookmarkStart w:id="262" w:name="_Toc310517258"/>
            <w:bookmarkStart w:id="263" w:name="_Toc349565665"/>
            <w:bookmarkStart w:id="264" w:name="_Toc382830693"/>
            <w:r>
              <w:rPr>
                <w:rFonts w:hint="eastAsia" w:ascii="宋体" w:hAnsi="宋体" w:eastAsia="宋体" w:cs="宋体"/>
                <w:sz w:val="24"/>
                <w:szCs w:val="24"/>
              </w:rPr>
              <w:t>序号</w:t>
            </w:r>
          </w:p>
        </w:tc>
        <w:tc>
          <w:tcPr>
            <w:tcW w:w="2562" w:type="pct"/>
            <w:gridSpan w:val="2"/>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名  称</w:t>
            </w:r>
          </w:p>
        </w:tc>
        <w:tc>
          <w:tcPr>
            <w:tcW w:w="729" w:type="pct"/>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单位</w:t>
            </w:r>
          </w:p>
        </w:tc>
        <w:tc>
          <w:tcPr>
            <w:tcW w:w="1220" w:type="pct"/>
            <w:tcBorders>
              <w:top w:val="single" w:color="auto" w:sz="8"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招标人</w:t>
            </w:r>
            <w:r>
              <w:rPr>
                <w:rFonts w:hint="eastAsia" w:ascii="宋体" w:hAnsi="宋体" w:eastAsia="宋体" w:cs="宋体"/>
                <w:snapToGrid w:val="0"/>
                <w:kern w:val="0"/>
                <w:sz w:val="24"/>
                <w:szCs w:val="24"/>
              </w:rPr>
              <w:t>要求值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系统标称电压</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kV</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lang w:val="en-US" w:eastAsia="zh-CN"/>
              </w:rPr>
            </w:pPr>
            <w:r>
              <w:rPr>
                <w:rFonts w:hint="eastAsia" w:ascii="宋体" w:hAnsi="宋体" w:eastAsia="宋体" w:cs="宋体"/>
                <w:snapToGrid w:val="0"/>
                <w:kern w:val="0"/>
                <w:sz w:val="24"/>
                <w:szCs w:val="24"/>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设备最高电压</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kV</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lang w:val="en-US" w:eastAsia="zh-CN"/>
              </w:rPr>
            </w:pPr>
            <w:r>
              <w:rPr>
                <w:rFonts w:hint="eastAsia" w:ascii="宋体" w:hAnsi="宋体" w:eastAsia="宋体" w:cs="宋体"/>
                <w:snapToGrid w:val="0"/>
                <w:kern w:val="0"/>
                <w:sz w:val="24"/>
                <w:szCs w:val="24"/>
                <w:lang w:val="en-US" w:eastAsia="zh-CN"/>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系统接地方式</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非有效接地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电源的频率</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Hz</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napToGrid w:val="0"/>
                <w:kern w:val="0"/>
                <w:sz w:val="24"/>
                <w:szCs w:val="24"/>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污秽等级</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vMerge w:val="restar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6</w:t>
            </w:r>
          </w:p>
        </w:tc>
        <w:tc>
          <w:tcPr>
            <w:tcW w:w="1004"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b/>
                <w:sz w:val="24"/>
                <w:szCs w:val="24"/>
              </w:rPr>
            </w:pPr>
            <w:r>
              <w:rPr>
                <w:rFonts w:hint="eastAsia" w:ascii="宋体" w:hAnsi="宋体" w:eastAsia="宋体" w:cs="宋体"/>
                <w:sz w:val="24"/>
                <w:szCs w:val="24"/>
              </w:rPr>
              <w:t>环境温度</w:t>
            </w:r>
          </w:p>
        </w:tc>
        <w:tc>
          <w:tcPr>
            <w:tcW w:w="155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b/>
                <w:sz w:val="24"/>
                <w:szCs w:val="24"/>
              </w:rPr>
            </w:pPr>
            <w:r>
              <w:rPr>
                <w:rFonts w:hint="eastAsia" w:ascii="宋体" w:hAnsi="宋体" w:eastAsia="宋体" w:cs="宋体"/>
                <w:sz w:val="24"/>
                <w:szCs w:val="24"/>
              </w:rPr>
              <w:t>日最高温度</w:t>
            </w:r>
          </w:p>
        </w:tc>
        <w:tc>
          <w:tcPr>
            <w:tcW w:w="729"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b/>
                <w:sz w:val="24"/>
                <w:szCs w:val="24"/>
              </w:rPr>
            </w:pPr>
            <w:r>
              <w:rPr>
                <w:rFonts w:hint="eastAsia" w:ascii="宋体" w:hAnsi="宋体" w:eastAsia="宋体" w:cs="宋体"/>
                <w:sz w:val="24"/>
                <w:szCs w:val="24"/>
              </w:rPr>
              <w:t>℃</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napToGrid w:val="0"/>
                <w:kern w:val="0"/>
                <w:sz w:val="24"/>
                <w:szCs w:val="24"/>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vMerge w:val="continue"/>
            <w:tcBorders>
              <w:top w:val="single" w:color="auto" w:sz="4" w:space="0"/>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0" w:firstLineChars="0"/>
              <w:jc w:val="left"/>
              <w:rPr>
                <w:rFonts w:hint="eastAsia" w:ascii="宋体" w:hAnsi="宋体" w:eastAsia="宋体" w:cs="宋体"/>
                <w:sz w:val="24"/>
                <w:szCs w:val="24"/>
              </w:rPr>
            </w:pPr>
          </w:p>
        </w:tc>
        <w:tc>
          <w:tcPr>
            <w:tcW w:w="1004"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0" w:firstLineChars="0"/>
              <w:jc w:val="left"/>
              <w:rPr>
                <w:rFonts w:hint="eastAsia" w:ascii="宋体" w:hAnsi="宋体" w:eastAsia="宋体" w:cs="宋体"/>
                <w:b/>
                <w:sz w:val="24"/>
                <w:szCs w:val="24"/>
              </w:rPr>
            </w:pPr>
          </w:p>
        </w:tc>
        <w:tc>
          <w:tcPr>
            <w:tcW w:w="155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b/>
                <w:sz w:val="24"/>
                <w:szCs w:val="24"/>
              </w:rPr>
            </w:pPr>
            <w:r>
              <w:rPr>
                <w:rFonts w:hint="eastAsia" w:ascii="宋体" w:hAnsi="宋体" w:eastAsia="宋体" w:cs="宋体"/>
                <w:sz w:val="24"/>
                <w:szCs w:val="24"/>
              </w:rPr>
              <w:t>日最低温度</w:t>
            </w:r>
          </w:p>
        </w:tc>
        <w:tc>
          <w:tcPr>
            <w:tcW w:w="729"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0" w:firstLineChars="0"/>
              <w:jc w:val="left"/>
              <w:rPr>
                <w:rFonts w:hint="eastAsia" w:ascii="宋体" w:hAnsi="宋体" w:eastAsia="宋体" w:cs="宋体"/>
                <w:b/>
                <w:sz w:val="24"/>
                <w:szCs w:val="24"/>
              </w:rPr>
            </w:pP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lang w:eastAsia="zh-CN"/>
              </w:rPr>
            </w:pPr>
            <w:r>
              <w:rPr>
                <w:rFonts w:hint="eastAsia" w:ascii="宋体" w:hAnsi="宋体" w:eastAsia="宋体" w:cs="宋体"/>
                <w:snapToGrid w:val="0"/>
                <w:kern w:val="0"/>
                <w:sz w:val="24"/>
                <w:szCs w:val="24"/>
              </w:rPr>
              <w:t>－</w:t>
            </w:r>
            <w:r>
              <w:rPr>
                <w:rFonts w:hint="eastAsia" w:ascii="宋体" w:hAnsi="宋体" w:eastAsia="宋体" w:cs="宋体"/>
                <w:snapToGrid w:val="0"/>
                <w:kern w:val="0"/>
                <w:sz w:val="24"/>
                <w:szCs w:val="24"/>
                <w:lang w:val="en-US" w:eastAsia="zh-CN"/>
              </w:rP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vMerge w:val="continue"/>
            <w:tcBorders>
              <w:top w:val="single" w:color="auto" w:sz="4" w:space="0"/>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0" w:firstLineChars="0"/>
              <w:jc w:val="left"/>
              <w:rPr>
                <w:rFonts w:hint="eastAsia" w:ascii="宋体" w:hAnsi="宋体" w:eastAsia="宋体" w:cs="宋体"/>
                <w:sz w:val="24"/>
                <w:szCs w:val="24"/>
              </w:rPr>
            </w:pPr>
          </w:p>
        </w:tc>
        <w:tc>
          <w:tcPr>
            <w:tcW w:w="1004"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0" w:firstLineChars="0"/>
              <w:jc w:val="left"/>
              <w:rPr>
                <w:rFonts w:hint="eastAsia" w:ascii="宋体" w:hAnsi="宋体" w:eastAsia="宋体" w:cs="宋体"/>
                <w:b/>
                <w:sz w:val="24"/>
                <w:szCs w:val="24"/>
              </w:rPr>
            </w:pPr>
          </w:p>
        </w:tc>
        <w:tc>
          <w:tcPr>
            <w:tcW w:w="155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日最大温差</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K</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napToGrid w:val="0"/>
                <w:kern w:val="0"/>
                <w:sz w:val="24"/>
                <w:szCs w:val="24"/>
              </w:rPr>
              <w:t>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vMerge w:val="restar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b/>
                <w:sz w:val="24"/>
                <w:szCs w:val="24"/>
              </w:rPr>
            </w:pPr>
            <w:r>
              <w:rPr>
                <w:rFonts w:hint="eastAsia" w:ascii="宋体" w:hAnsi="宋体" w:eastAsia="宋体" w:cs="宋体"/>
                <w:sz w:val="24"/>
                <w:szCs w:val="24"/>
              </w:rPr>
              <w:t>7</w:t>
            </w:r>
          </w:p>
        </w:tc>
        <w:tc>
          <w:tcPr>
            <w:tcW w:w="1004"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b/>
                <w:sz w:val="24"/>
                <w:szCs w:val="24"/>
              </w:rPr>
            </w:pPr>
            <w:r>
              <w:rPr>
                <w:rFonts w:hint="eastAsia" w:ascii="宋体" w:hAnsi="宋体" w:eastAsia="宋体" w:cs="宋体"/>
                <w:sz w:val="24"/>
                <w:szCs w:val="24"/>
              </w:rPr>
              <w:t>湿度</w:t>
            </w:r>
          </w:p>
        </w:tc>
        <w:tc>
          <w:tcPr>
            <w:tcW w:w="155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日相对湿度平均值</w:t>
            </w:r>
          </w:p>
        </w:tc>
        <w:tc>
          <w:tcPr>
            <w:tcW w:w="729"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b/>
                <w:sz w:val="24"/>
                <w:szCs w:val="24"/>
              </w:rPr>
            </w:pPr>
            <w:r>
              <w:rPr>
                <w:rFonts w:hint="eastAsia" w:ascii="宋体" w:hAnsi="宋体" w:eastAsia="宋体" w:cs="宋体"/>
                <w:sz w:val="24"/>
                <w:szCs w:val="24"/>
              </w:rPr>
              <w:t>%</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≤95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vMerge w:val="continue"/>
            <w:tcBorders>
              <w:top w:val="single" w:color="auto" w:sz="4" w:space="0"/>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0" w:firstLineChars="0"/>
              <w:jc w:val="left"/>
              <w:rPr>
                <w:rFonts w:hint="eastAsia" w:ascii="宋体" w:hAnsi="宋体" w:eastAsia="宋体" w:cs="宋体"/>
                <w:b/>
                <w:sz w:val="24"/>
                <w:szCs w:val="24"/>
              </w:rPr>
            </w:pPr>
          </w:p>
        </w:tc>
        <w:tc>
          <w:tcPr>
            <w:tcW w:w="1004"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0" w:firstLineChars="0"/>
              <w:jc w:val="left"/>
              <w:rPr>
                <w:rFonts w:hint="eastAsia" w:ascii="宋体" w:hAnsi="宋体" w:eastAsia="宋体" w:cs="宋体"/>
                <w:b/>
                <w:sz w:val="24"/>
                <w:szCs w:val="24"/>
              </w:rPr>
            </w:pPr>
          </w:p>
        </w:tc>
        <w:tc>
          <w:tcPr>
            <w:tcW w:w="155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月相对湿度平均值</w:t>
            </w:r>
          </w:p>
        </w:tc>
        <w:tc>
          <w:tcPr>
            <w:tcW w:w="729" w:type="pct"/>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firstLine="0" w:firstLineChars="0"/>
              <w:jc w:val="left"/>
              <w:rPr>
                <w:rFonts w:hint="eastAsia" w:ascii="宋体" w:hAnsi="宋体" w:eastAsia="宋体" w:cs="宋体"/>
                <w:b/>
                <w:sz w:val="24"/>
                <w:szCs w:val="24"/>
              </w:rPr>
            </w:pP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≤90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8</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海拔高度</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m</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≤1000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9</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太阳辐射强度</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W∕cm</w:t>
            </w:r>
            <w:r>
              <w:rPr>
                <w:rFonts w:hint="eastAsia" w:ascii="宋体" w:hAnsi="宋体" w:eastAsia="宋体" w:cs="宋体"/>
                <w:sz w:val="24"/>
                <w:szCs w:val="24"/>
                <w:vertAlign w:val="superscript"/>
              </w:rPr>
              <w:t>2</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10</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left"/>
              <w:rPr>
                <w:rFonts w:hint="eastAsia" w:ascii="宋体" w:hAnsi="宋体" w:eastAsia="宋体" w:cs="宋体"/>
                <w:sz w:val="24"/>
                <w:szCs w:val="24"/>
              </w:rPr>
            </w:pPr>
            <w:r>
              <w:rPr>
                <w:rFonts w:hint="eastAsia" w:ascii="宋体" w:hAnsi="宋体" w:eastAsia="宋体" w:cs="宋体"/>
                <w:sz w:val="24"/>
                <w:szCs w:val="24"/>
              </w:rPr>
              <w:t>最大覆冰厚度</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mm</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11</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suppressLineNumbers w:val="0"/>
              <w:topLinePunct/>
              <w:snapToGrid w:val="0"/>
              <w:spacing w:before="0" w:beforeAutospacing="0" w:after="0" w:afterAutospacing="0"/>
              <w:ind w:left="0" w:right="0" w:firstLine="0" w:firstLineChars="0"/>
              <w:jc w:val="both"/>
              <w:rPr>
                <w:rFonts w:hint="eastAsia" w:ascii="宋体" w:hAnsi="宋体" w:eastAsia="宋体" w:cs="宋体"/>
                <w:sz w:val="24"/>
                <w:szCs w:val="24"/>
              </w:rPr>
            </w:pPr>
            <w:r>
              <w:rPr>
                <w:rFonts w:hint="eastAsia" w:ascii="宋体" w:hAnsi="宋体" w:eastAsia="宋体" w:cs="宋体"/>
                <w:sz w:val="24"/>
                <w:szCs w:val="24"/>
              </w:rPr>
              <w:t>最大风速</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m/s</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12</w:t>
            </w:r>
          </w:p>
        </w:tc>
        <w:tc>
          <w:tcPr>
            <w:tcW w:w="2562" w:type="pct"/>
            <w:gridSpan w:val="2"/>
            <w:tcBorders>
              <w:top w:val="single" w:color="auto" w:sz="4" w:space="0"/>
              <w:left w:val="single" w:color="auto" w:sz="4" w:space="0"/>
              <w:bottom w:val="single" w:color="auto" w:sz="4" w:space="0"/>
              <w:right w:val="single" w:color="auto" w:sz="4" w:space="0"/>
            </w:tcBorders>
            <w:noWrap w:val="0"/>
            <w:vAlign w:val="center"/>
          </w:tcPr>
          <w:p>
            <w:pPr>
              <w:pStyle w:val="14"/>
              <w:keepNext w:val="0"/>
              <w:keepLines w:val="0"/>
              <w:suppressLineNumbers w:val="0"/>
              <w:topLinePunct/>
              <w:snapToGrid w:val="0"/>
              <w:spacing w:before="0" w:beforeAutospacing="0" w:after="0" w:afterAutospacing="0"/>
              <w:ind w:left="0" w:right="0" w:firstLine="0" w:firstLineChars="0"/>
              <w:jc w:val="both"/>
              <w:rPr>
                <w:rFonts w:hint="eastAsia" w:ascii="宋体" w:hAnsi="宋体" w:eastAsia="宋体" w:cs="宋体"/>
                <w:sz w:val="24"/>
                <w:szCs w:val="24"/>
              </w:rPr>
            </w:pPr>
            <w:r>
              <w:rPr>
                <w:rFonts w:hint="eastAsia" w:ascii="宋体" w:hAnsi="宋体" w:eastAsia="宋体" w:cs="宋体"/>
                <w:sz w:val="24"/>
                <w:szCs w:val="24"/>
              </w:rPr>
              <w:t>耐受地震能力（对应水平加速度，安全系数不小于1.67）</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m/s</w:t>
            </w:r>
            <w:r>
              <w:rPr>
                <w:rFonts w:hint="eastAsia" w:ascii="宋体" w:hAnsi="宋体" w:eastAsia="宋体" w:cs="宋体"/>
                <w:sz w:val="24"/>
                <w:szCs w:val="24"/>
                <w:vertAlign w:val="superscript"/>
              </w:rPr>
              <w:t>2</w:t>
            </w:r>
          </w:p>
        </w:tc>
        <w:tc>
          <w:tcPr>
            <w:tcW w:w="12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487" w:type="pct"/>
            <w:tcBorders>
              <w:top w:val="single" w:color="auto" w:sz="4" w:space="0"/>
              <w:left w:val="single" w:color="auto" w:sz="8" w:space="0"/>
              <w:bottom w:val="single" w:color="auto" w:sz="8"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13</w:t>
            </w:r>
          </w:p>
        </w:tc>
        <w:tc>
          <w:tcPr>
            <w:tcW w:w="2562" w:type="pct"/>
            <w:gridSpan w:val="2"/>
            <w:tcBorders>
              <w:top w:val="single" w:color="auto" w:sz="4" w:space="0"/>
              <w:left w:val="single" w:color="auto" w:sz="4" w:space="0"/>
              <w:bottom w:val="single" w:color="auto" w:sz="8" w:space="0"/>
              <w:right w:val="single" w:color="auto" w:sz="4" w:space="0"/>
            </w:tcBorders>
            <w:noWrap w:val="0"/>
            <w:vAlign w:val="center"/>
          </w:tcPr>
          <w:p>
            <w:pPr>
              <w:pStyle w:val="14"/>
              <w:keepNext w:val="0"/>
              <w:keepLines w:val="0"/>
              <w:suppressLineNumbers w:val="0"/>
              <w:topLinePunct/>
              <w:snapToGrid w:val="0"/>
              <w:spacing w:before="0" w:beforeAutospacing="0" w:after="0" w:afterAutospacing="0"/>
              <w:ind w:left="0" w:right="0" w:firstLine="0" w:firstLineChars="0"/>
              <w:jc w:val="both"/>
              <w:rPr>
                <w:rFonts w:hint="eastAsia" w:ascii="宋体" w:hAnsi="宋体" w:eastAsia="宋体" w:cs="宋体"/>
                <w:sz w:val="24"/>
                <w:szCs w:val="24"/>
              </w:rPr>
            </w:pPr>
            <w:r>
              <w:rPr>
                <w:rFonts w:hint="eastAsia" w:ascii="宋体" w:hAnsi="宋体" w:eastAsia="宋体" w:cs="宋体"/>
                <w:sz w:val="24"/>
                <w:szCs w:val="24"/>
              </w:rPr>
              <w:t>安装场所</w:t>
            </w:r>
          </w:p>
        </w:tc>
        <w:tc>
          <w:tcPr>
            <w:tcW w:w="729" w:type="pct"/>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rPr>
            </w:pPr>
            <w:r>
              <w:rPr>
                <w:rFonts w:hint="eastAsia" w:ascii="宋体" w:hAnsi="宋体" w:eastAsia="宋体" w:cs="宋体"/>
                <w:sz w:val="24"/>
                <w:szCs w:val="24"/>
              </w:rPr>
              <w:t>户内/外</w:t>
            </w:r>
          </w:p>
        </w:tc>
        <w:tc>
          <w:tcPr>
            <w:tcW w:w="1220" w:type="pct"/>
            <w:tcBorders>
              <w:top w:val="single" w:color="auto" w:sz="4" w:space="0"/>
              <w:left w:val="single" w:color="auto" w:sz="4" w:space="0"/>
              <w:bottom w:val="single" w:color="auto" w:sz="8" w:space="0"/>
              <w:right w:val="single" w:color="auto" w:sz="4" w:space="0"/>
            </w:tcBorders>
            <w:noWrap w:val="0"/>
            <w:vAlign w:val="center"/>
          </w:tcPr>
          <w:p>
            <w:pPr>
              <w:keepNext w:val="0"/>
              <w:keepLines w:val="0"/>
              <w:suppressLineNumbers w:val="0"/>
              <w:topLinePunct/>
              <w:snapToGrid w:val="0"/>
              <w:spacing w:before="0" w:beforeAutospacing="0" w:after="0" w:afterAutospacing="0"/>
              <w:ind w:left="0" w:right="0" w:firstLine="0" w:firstLineChars="0"/>
              <w:jc w:val="center"/>
              <w:rPr>
                <w:rFonts w:hint="eastAsia" w:ascii="宋体" w:hAnsi="宋体" w:eastAsia="宋体" w:cs="宋体"/>
                <w:sz w:val="24"/>
                <w:szCs w:val="24"/>
                <w:lang w:eastAsia="zh-CN"/>
              </w:rPr>
            </w:pPr>
            <w:r>
              <w:rPr>
                <w:rFonts w:hint="eastAsia" w:ascii="宋体" w:hAnsi="宋体" w:eastAsia="宋体" w:cs="宋体"/>
                <w:snapToGrid w:val="0"/>
                <w:kern w:val="0"/>
                <w:sz w:val="24"/>
                <w:szCs w:val="24"/>
                <w:highlight w:val="none"/>
              </w:rPr>
              <w:t>户</w:t>
            </w:r>
            <w:r>
              <w:rPr>
                <w:rFonts w:hint="eastAsia" w:ascii="宋体" w:hAnsi="宋体" w:eastAsia="宋体" w:cs="宋体"/>
                <w:snapToGrid w:val="0"/>
                <w:kern w:val="0"/>
                <w:sz w:val="24"/>
                <w:szCs w:val="24"/>
                <w:highlight w:val="none"/>
                <w:lang w:eastAsia="zh-CN"/>
              </w:rPr>
              <w:t>外</w:t>
            </w:r>
          </w:p>
        </w:tc>
      </w:tr>
    </w:tbl>
    <w:p>
      <w:pPr>
        <w:snapToGrid w:val="0"/>
        <w:spacing w:line="360" w:lineRule="auto"/>
        <w:rPr>
          <w:rFonts w:hint="eastAsia" w:ascii="宋体" w:hAnsi="宋体" w:eastAsia="宋体" w:cs="宋体"/>
        </w:rPr>
      </w:pPr>
      <w:r>
        <w:rPr>
          <w:rFonts w:hint="eastAsia" w:ascii="宋体" w:hAnsi="宋体" w:eastAsia="宋体" w:cs="宋体"/>
        </w:rPr>
        <w:t>注：1.海拔&gt;1000m以上需要进行高海拔校正。</w:t>
      </w:r>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65" w:name="_Toc24604"/>
      <w:bookmarkStart w:id="266" w:name="_Toc520986946"/>
      <w:r>
        <w:rPr>
          <w:rFonts w:hint="eastAsia" w:ascii="宋体" w:hAnsi="宋体" w:eastAsia="宋体" w:cs="宋体"/>
          <w:highlight w:val="none"/>
        </w:rPr>
        <w:t>2 技术参数表</w:t>
      </w:r>
      <w:bookmarkEnd w:id="262"/>
      <w:bookmarkEnd w:id="263"/>
      <w:bookmarkEnd w:id="264"/>
      <w:bookmarkEnd w:id="265"/>
      <w:bookmarkEnd w:id="266"/>
    </w:p>
    <w:p>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“投标人保证值”由投标人填写，应与型式试验报告相符。</w:t>
      </w: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67" w:name="_Toc31493"/>
      <w:bookmarkStart w:id="268" w:name="_Toc520986947"/>
      <w:r>
        <w:rPr>
          <w:rFonts w:hint="eastAsia" w:ascii="宋体" w:hAnsi="宋体" w:eastAsia="宋体" w:cs="宋体"/>
          <w:b w:val="0"/>
          <w:bCs/>
          <w:sz w:val="28"/>
          <w:szCs w:val="28"/>
        </w:rPr>
        <w:t>2.1</w:t>
      </w:r>
      <w:r>
        <w:rPr>
          <w:rFonts w:hint="eastAsia" w:ascii="宋体" w:hAnsi="宋体" w:cs="宋体"/>
          <w:b w:val="0"/>
          <w:bCs/>
          <w:sz w:val="28"/>
          <w:szCs w:val="28"/>
          <w:lang w:val="en-US" w:eastAsia="zh-CN"/>
        </w:rPr>
        <w:t xml:space="preserve"> </w:t>
      </w:r>
      <w:r>
        <w:rPr>
          <w:rFonts w:hint="eastAsia" w:ascii="宋体" w:hAnsi="宋体" w:eastAsia="宋体" w:cs="宋体"/>
          <w:b w:val="0"/>
          <w:bCs/>
          <w:sz w:val="28"/>
          <w:szCs w:val="28"/>
        </w:rPr>
        <w:t>高压/低压预装式变电站参数表</w:t>
      </w:r>
      <w:bookmarkEnd w:id="267"/>
      <w:bookmarkEnd w:id="268"/>
    </w:p>
    <w:p>
      <w:pPr>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表2.1-1   高压/低压预装式变电站整体要求技术参数表</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7"/>
        <w:gridCol w:w="569"/>
        <w:gridCol w:w="1495"/>
        <w:gridCol w:w="740"/>
        <w:gridCol w:w="819"/>
        <w:gridCol w:w="2299"/>
        <w:gridCol w:w="23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804" w:type="dxa"/>
            <w:gridSpan w:val="3"/>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29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型号</w:t>
            </w:r>
          </w:p>
        </w:tc>
        <w:tc>
          <w:tcPr>
            <w:tcW w:w="819"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p>
        </w:tc>
        <w:tc>
          <w:tcPr>
            <w:tcW w:w="229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color w:val="auto"/>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额定容量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kVA</w:t>
            </w:r>
          </w:p>
        </w:tc>
        <w:tc>
          <w:tcPr>
            <w:tcW w:w="2299" w:type="dxa"/>
            <w:vAlign w:val="center"/>
          </w:tcPr>
          <w:p>
            <w:pPr>
              <w:keepNext w:val="0"/>
              <w:keepLines w:val="0"/>
              <w:suppressLineNumbers w:val="0"/>
              <w:snapToGrid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2200/28</w:t>
            </w:r>
            <w:r>
              <w:rPr>
                <w:rFonts w:hint="eastAsia" w:ascii="宋体" w:hAnsi="宋体" w:eastAsia="宋体" w:cs="宋体"/>
                <w:lang w:val="en-US" w:eastAsia="zh-CN"/>
              </w:rPr>
              <w:t>00</w:t>
            </w:r>
            <w:r>
              <w:rPr>
                <w:rFonts w:hint="eastAsia" w:ascii="宋体" w:hAnsi="宋体" w:cs="宋体"/>
                <w:lang w:val="en-US" w:eastAsia="zh-CN"/>
              </w:rPr>
              <w:t>/3400</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804" w:type="dxa"/>
            <w:gridSpan w:val="3"/>
            <w:vAlign w:val="center"/>
          </w:tcPr>
          <w:p>
            <w:pPr>
              <w:keepNext w:val="0"/>
              <w:keepLines w:val="0"/>
              <w:suppressLineNumbers w:val="0"/>
              <w:snapToGrid w:val="0"/>
              <w:spacing w:before="0" w:beforeAutospacing="0" w:after="0" w:afterAutospacing="0"/>
              <w:ind w:left="0" w:right="0"/>
              <w:jc w:val="left"/>
              <w:rPr>
                <w:rFonts w:hint="eastAsia" w:ascii="宋体" w:hAnsi="宋体" w:eastAsia="宋体" w:cs="宋体"/>
              </w:rPr>
            </w:pPr>
            <w:r>
              <w:rPr>
                <w:rFonts w:hint="eastAsia" w:ascii="宋体" w:hAnsi="宋体" w:eastAsia="宋体" w:cs="宋体"/>
              </w:rPr>
              <w:t>额定电压</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kV</w:t>
            </w:r>
          </w:p>
        </w:tc>
        <w:tc>
          <w:tcPr>
            <w:tcW w:w="229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lang w:eastAsia="zh-CN"/>
              </w:rPr>
            </w:pPr>
            <w:r>
              <w:rPr>
                <w:rFonts w:hint="eastAsia" w:ascii="宋体" w:hAnsi="宋体" w:cs="宋体"/>
                <w:lang w:val="en-US" w:eastAsia="zh-CN"/>
              </w:rPr>
              <w:t>10.5</w:t>
            </w:r>
            <w:r>
              <w:rPr>
                <w:rFonts w:hint="eastAsia" w:ascii="宋体" w:hAnsi="宋体" w:eastAsia="宋体" w:cs="宋体"/>
              </w:rPr>
              <w:t>/0.</w:t>
            </w:r>
            <w:r>
              <w:rPr>
                <w:rFonts w:hint="eastAsia" w:ascii="宋体" w:hAnsi="宋体" w:eastAsia="宋体" w:cs="宋体"/>
                <w:lang w:val="en-US" w:eastAsia="zh-CN"/>
              </w:rPr>
              <w:t>8</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804" w:type="dxa"/>
            <w:gridSpan w:val="3"/>
            <w:vAlign w:val="center"/>
          </w:tcPr>
          <w:p>
            <w:pPr>
              <w:keepNext w:val="0"/>
              <w:keepLines w:val="0"/>
              <w:suppressLineNumbers w:val="0"/>
              <w:snapToGrid w:val="0"/>
              <w:spacing w:before="0" w:beforeAutospacing="0" w:after="0" w:afterAutospacing="0"/>
              <w:ind w:left="0" w:right="0"/>
              <w:jc w:val="left"/>
              <w:rPr>
                <w:rFonts w:hint="eastAsia" w:ascii="宋体" w:hAnsi="宋体" w:eastAsia="宋体" w:cs="宋体"/>
              </w:rPr>
            </w:pPr>
            <w:r>
              <w:rPr>
                <w:rFonts w:hint="eastAsia" w:ascii="宋体" w:hAnsi="宋体" w:eastAsia="宋体" w:cs="宋体"/>
              </w:rPr>
              <w:t>额定频率</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Hz</w:t>
            </w:r>
          </w:p>
        </w:tc>
        <w:tc>
          <w:tcPr>
            <w:tcW w:w="229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50</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5</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高/低压室防护等级</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29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IP54</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restar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6</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热稳定电流高压主回路</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kA</w:t>
            </w:r>
          </w:p>
        </w:tc>
        <w:tc>
          <w:tcPr>
            <w:tcW w:w="2299" w:type="dxa"/>
            <w:vAlign w:val="center"/>
          </w:tcPr>
          <w:p>
            <w:pPr>
              <w:keepNext w:val="0"/>
              <w:keepLines w:val="0"/>
              <w:suppressLineNumbers w:val="0"/>
              <w:snapToGrid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25</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continue"/>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sz w:val="22"/>
                <w:szCs w:val="22"/>
              </w:rPr>
            </w:pP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highlight w:val="none"/>
              </w:rPr>
            </w:pPr>
            <w:r>
              <w:rPr>
                <w:rFonts w:hint="eastAsia" w:ascii="宋体" w:hAnsi="宋体" w:eastAsia="宋体" w:cs="宋体"/>
                <w:highlight w:val="none"/>
              </w:rPr>
              <w:t>热稳定电流低压主回路</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highlight w:val="none"/>
              </w:rPr>
            </w:pPr>
            <w:r>
              <w:rPr>
                <w:rFonts w:hint="eastAsia" w:ascii="宋体" w:hAnsi="宋体" w:eastAsia="宋体" w:cs="宋体"/>
                <w:highlight w:val="none"/>
              </w:rPr>
              <w:t>kA</w:t>
            </w:r>
          </w:p>
        </w:tc>
        <w:tc>
          <w:tcPr>
            <w:tcW w:w="2299" w:type="dxa"/>
            <w:vAlign w:val="center"/>
          </w:tcPr>
          <w:p>
            <w:pPr>
              <w:keepNext w:val="0"/>
              <w:keepLines w:val="0"/>
              <w:suppressLineNumbers w:val="0"/>
              <w:snapToGrid w:val="0"/>
              <w:spacing w:before="0" w:beforeAutospacing="0" w:after="0" w:afterAutospacing="0"/>
              <w:ind w:left="0" w:right="0"/>
              <w:jc w:val="center"/>
              <w:rPr>
                <w:rFonts w:hint="default" w:ascii="宋体" w:hAnsi="宋体" w:eastAsia="宋体" w:cs="宋体"/>
                <w:highlight w:val="none"/>
                <w:lang w:val="en-US" w:eastAsia="zh-CN"/>
              </w:rPr>
            </w:pPr>
            <w:r>
              <w:rPr>
                <w:rFonts w:hint="eastAsia" w:ascii="宋体" w:hAnsi="宋体" w:cs="宋体"/>
                <w:highlight w:val="none"/>
                <w:lang w:val="en-US" w:eastAsia="zh-CN"/>
              </w:rPr>
              <w:t>63</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restar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7</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动稳定电流高压主回路</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kA</w:t>
            </w:r>
          </w:p>
        </w:tc>
        <w:tc>
          <w:tcPr>
            <w:tcW w:w="2299" w:type="dxa"/>
            <w:vAlign w:val="center"/>
          </w:tcPr>
          <w:p>
            <w:pPr>
              <w:keepNext w:val="0"/>
              <w:keepLines w:val="0"/>
              <w:suppressLineNumbers w:val="0"/>
              <w:snapToGrid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63</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continue"/>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sz w:val="22"/>
                <w:szCs w:val="22"/>
              </w:rPr>
            </w:pP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highlight w:val="none"/>
              </w:rPr>
            </w:pPr>
            <w:r>
              <w:rPr>
                <w:rFonts w:hint="eastAsia" w:ascii="宋体" w:hAnsi="宋体" w:eastAsia="宋体" w:cs="宋体"/>
                <w:highlight w:val="none"/>
              </w:rPr>
              <w:t>动稳定电流低压主回路</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highlight w:val="none"/>
              </w:rPr>
            </w:pPr>
            <w:r>
              <w:rPr>
                <w:rFonts w:hint="eastAsia" w:ascii="宋体" w:hAnsi="宋体" w:eastAsia="宋体" w:cs="宋体"/>
                <w:highlight w:val="none"/>
              </w:rPr>
              <w:t>kA</w:t>
            </w:r>
          </w:p>
        </w:tc>
        <w:tc>
          <w:tcPr>
            <w:tcW w:w="2299" w:type="dxa"/>
            <w:vAlign w:val="center"/>
          </w:tcPr>
          <w:p>
            <w:pPr>
              <w:keepNext w:val="0"/>
              <w:keepLines w:val="0"/>
              <w:suppressLineNumbers w:val="0"/>
              <w:snapToGrid w:val="0"/>
              <w:spacing w:before="0" w:beforeAutospacing="0" w:after="0" w:afterAutospacing="0"/>
              <w:ind w:left="0" w:right="0"/>
              <w:jc w:val="center"/>
              <w:rPr>
                <w:rFonts w:hint="default" w:ascii="宋体" w:hAnsi="宋体" w:eastAsia="宋体" w:cs="宋体"/>
                <w:highlight w:val="none"/>
                <w:lang w:val="en-US" w:eastAsia="zh-CN"/>
              </w:rPr>
            </w:pPr>
            <w:r>
              <w:rPr>
                <w:rFonts w:hint="eastAsia" w:ascii="宋体" w:hAnsi="宋体" w:cs="宋体"/>
                <w:highlight w:val="none"/>
                <w:lang w:val="en-US" w:eastAsia="zh-CN"/>
              </w:rPr>
              <w:t>165</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restart"/>
            <w:vAlign w:val="center"/>
          </w:tcPr>
          <w:p>
            <w:pPr>
              <w:keepNext w:val="0"/>
              <w:keepLines w:val="0"/>
              <w:suppressLineNumbers w:val="0"/>
              <w:snapToGrid w:val="0"/>
              <w:spacing w:before="48" w:beforeLines="20" w:beforeAutospacing="0" w:after="48" w:afterLines="20" w:afterAutospacing="0"/>
              <w:ind w:left="0" w:right="0"/>
              <w:rPr>
                <w:rFonts w:hint="eastAsia" w:ascii="宋体" w:hAnsi="宋体" w:eastAsia="宋体" w:cs="宋体"/>
              </w:rPr>
            </w:pPr>
          </w:p>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8</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1min工频耐压高压主回路</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29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cs="宋体"/>
                <w:lang w:val="en-US" w:eastAsia="zh-CN"/>
              </w:rPr>
              <w:t>42</w:t>
            </w:r>
            <w:r>
              <w:rPr>
                <w:rFonts w:hint="eastAsia" w:ascii="宋体" w:hAnsi="宋体" w:eastAsia="宋体" w:cs="宋体"/>
              </w:rPr>
              <w:t>(开关)、</w:t>
            </w:r>
            <w:r>
              <w:rPr>
                <w:rFonts w:hint="eastAsia" w:ascii="宋体" w:hAnsi="宋体" w:cs="宋体"/>
                <w:lang w:val="en-US" w:eastAsia="zh-CN"/>
              </w:rPr>
              <w:t>35</w:t>
            </w:r>
            <w:r>
              <w:rPr>
                <w:rFonts w:hint="eastAsia" w:ascii="宋体" w:hAnsi="宋体" w:eastAsia="宋体" w:cs="宋体"/>
              </w:rPr>
              <w:t>(变压器)</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continue"/>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sz w:val="22"/>
                <w:szCs w:val="22"/>
              </w:rPr>
            </w:pP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1min工频耐压低压主回路</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29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5</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continue"/>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sz w:val="22"/>
                <w:szCs w:val="22"/>
              </w:rPr>
            </w:pP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1min工频耐压辅助回路</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29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2</w:t>
            </w:r>
          </w:p>
        </w:tc>
        <w:tc>
          <w:tcPr>
            <w:tcW w:w="2311"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restar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eastAsia="zh-CN"/>
              </w:rPr>
            </w:pPr>
            <w:r>
              <w:rPr>
                <w:rFonts w:hint="eastAsia" w:ascii="宋体" w:hAnsi="宋体" w:eastAsia="宋体" w:cs="宋体"/>
                <w:lang w:val="en-US" w:eastAsia="zh-CN"/>
              </w:rPr>
              <w:t>9</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壳体材质（高/低压室、设备）</w:t>
            </w:r>
          </w:p>
        </w:tc>
        <w:tc>
          <w:tcPr>
            <w:tcW w:w="819" w:type="dxa"/>
            <w:tcBorders>
              <w:bottom w:val="single" w:color="auto" w:sz="4" w:space="0"/>
            </w:tcBorders>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299" w:type="dxa"/>
            <w:tcBorders>
              <w:bottom w:val="single" w:color="auto" w:sz="4" w:space="0"/>
            </w:tcBorders>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color w:val="000000"/>
                <w:kern w:val="2"/>
                <w:szCs w:val="21"/>
              </w:rPr>
              <w:t>冷轧钢板</w:t>
            </w: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continue"/>
            <w:vAlign w:val="center"/>
          </w:tcPr>
          <w:p>
            <w:pPr>
              <w:keepNext w:val="0"/>
              <w:keepLines w:val="0"/>
              <w:suppressLineNumbers w:val="0"/>
              <w:snapToGrid w:val="0"/>
              <w:spacing w:before="48" w:beforeLines="20" w:beforeAutospacing="0" w:after="48" w:afterLines="20" w:afterAutospacing="0"/>
              <w:ind w:left="0" w:right="0" w:firstLine="110" w:firstLineChars="50"/>
              <w:jc w:val="center"/>
              <w:rPr>
                <w:rFonts w:hint="eastAsia" w:ascii="宋体" w:hAnsi="宋体" w:eastAsia="宋体" w:cs="宋体"/>
                <w:sz w:val="22"/>
                <w:szCs w:val="22"/>
              </w:rPr>
            </w:pP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壳体厚度（高/低压室、设备）</w:t>
            </w:r>
          </w:p>
        </w:tc>
        <w:tc>
          <w:tcPr>
            <w:tcW w:w="819" w:type="dxa"/>
            <w:tcBorders>
              <w:top w:val="single" w:color="auto" w:sz="4" w:space="0"/>
            </w:tcBorders>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299" w:type="dxa"/>
            <w:tcBorders>
              <w:top w:val="single" w:color="auto" w:sz="4" w:space="0"/>
            </w:tcBorders>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continue"/>
            <w:vAlign w:val="center"/>
          </w:tcPr>
          <w:p>
            <w:pPr>
              <w:keepNext w:val="0"/>
              <w:keepLines w:val="0"/>
              <w:suppressLineNumbers w:val="0"/>
              <w:snapToGrid w:val="0"/>
              <w:spacing w:before="48" w:beforeLines="20" w:beforeAutospacing="0" w:after="48" w:afterLines="20" w:afterAutospacing="0"/>
              <w:ind w:left="0" w:right="0" w:firstLine="110" w:firstLineChars="50"/>
              <w:jc w:val="center"/>
              <w:rPr>
                <w:rFonts w:hint="eastAsia" w:ascii="宋体" w:hAnsi="宋体" w:eastAsia="宋体" w:cs="宋体"/>
                <w:sz w:val="22"/>
                <w:szCs w:val="22"/>
              </w:rPr>
            </w:pP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壳体表面处理（高/低压室、设备）</w:t>
            </w:r>
          </w:p>
        </w:tc>
        <w:tc>
          <w:tcPr>
            <w:tcW w:w="819" w:type="dxa"/>
            <w:tcBorders>
              <w:top w:val="single" w:color="auto" w:sz="4" w:space="0"/>
            </w:tcBorders>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299" w:type="dxa"/>
            <w:tcBorders>
              <w:top w:val="single" w:color="auto" w:sz="4" w:space="0"/>
            </w:tcBorders>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restar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10</w:t>
            </w:r>
          </w:p>
        </w:tc>
        <w:tc>
          <w:tcPr>
            <w:tcW w:w="569" w:type="dxa"/>
            <w:vMerge w:val="restar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绝缘水平</w:t>
            </w:r>
          </w:p>
        </w:tc>
        <w:tc>
          <w:tcPr>
            <w:tcW w:w="2235"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高压绕组雷电冲击（全波）</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299"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75</w:t>
            </w:r>
          </w:p>
        </w:tc>
        <w:tc>
          <w:tcPr>
            <w:tcW w:w="2311" w:type="dxa"/>
            <w:vAlign w:val="center"/>
          </w:tcPr>
          <w:p>
            <w:pPr>
              <w:keepNext w:val="0"/>
              <w:keepLines w:val="0"/>
              <w:suppressLineNumbers w:val="0"/>
              <w:snapToGrid w:val="0"/>
              <w:spacing w:before="0" w:beforeAutospacing="0" w:after="0" w:afterAutospacing="0" w:line="400" w:lineRule="atLeas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continue"/>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sz w:val="22"/>
                <w:szCs w:val="22"/>
              </w:rPr>
            </w:pPr>
          </w:p>
        </w:tc>
        <w:tc>
          <w:tcPr>
            <w:tcW w:w="569" w:type="dxa"/>
            <w:vMerge w:val="continue"/>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sz w:val="22"/>
                <w:szCs w:val="22"/>
              </w:rPr>
            </w:pPr>
          </w:p>
        </w:tc>
        <w:tc>
          <w:tcPr>
            <w:tcW w:w="2235"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高压绕组工频耐压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299"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42</w:t>
            </w:r>
          </w:p>
        </w:tc>
        <w:tc>
          <w:tcPr>
            <w:tcW w:w="231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Merge w:val="continue"/>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sz w:val="22"/>
                <w:szCs w:val="22"/>
              </w:rPr>
            </w:pPr>
          </w:p>
        </w:tc>
        <w:tc>
          <w:tcPr>
            <w:tcW w:w="569" w:type="dxa"/>
            <w:vMerge w:val="continue"/>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sz w:val="22"/>
                <w:szCs w:val="22"/>
              </w:rPr>
            </w:pPr>
          </w:p>
        </w:tc>
        <w:tc>
          <w:tcPr>
            <w:tcW w:w="2235"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低压绕组工频耐压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29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5</w:t>
            </w:r>
          </w:p>
        </w:tc>
        <w:tc>
          <w:tcPr>
            <w:tcW w:w="231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11</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使用寿命</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年</w:t>
            </w:r>
          </w:p>
        </w:tc>
        <w:tc>
          <w:tcPr>
            <w:tcW w:w="229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30</w:t>
            </w: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12</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噪声水平(距外壳0.3m处)</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dB</w:t>
            </w:r>
          </w:p>
        </w:tc>
        <w:tc>
          <w:tcPr>
            <w:tcW w:w="229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lang w:val="en-US" w:eastAsia="zh-CN"/>
              </w:rPr>
              <w:t>≤</w:t>
            </w:r>
            <w:r>
              <w:rPr>
                <w:rFonts w:hint="eastAsia" w:ascii="宋体" w:hAnsi="宋体" w:eastAsia="宋体" w:cs="宋体"/>
              </w:rPr>
              <w:t>50</w:t>
            </w: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13</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散热要求</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29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自然冷却时变压器不降容</w:t>
            </w: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14</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高压侧出线方式</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29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直埋</w:t>
            </w: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15</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高压中性点接地方式</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29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w:t>
            </w: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16</w:t>
            </w:r>
          </w:p>
        </w:tc>
        <w:tc>
          <w:tcPr>
            <w:tcW w:w="2804" w:type="dxa"/>
            <w:gridSpan w:val="3"/>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低压中性点接地方式</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29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w:t>
            </w: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17</w:t>
            </w:r>
          </w:p>
        </w:tc>
        <w:tc>
          <w:tcPr>
            <w:tcW w:w="2064"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预装式变电站组合方式</w:t>
            </w:r>
          </w:p>
        </w:tc>
        <w:tc>
          <w:tcPr>
            <w:tcW w:w="740"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结构</w:t>
            </w:r>
          </w:p>
        </w:tc>
        <w:tc>
          <w:tcPr>
            <w:tcW w:w="819" w:type="dxa"/>
            <w:vAlign w:val="center"/>
          </w:tcPr>
          <w:p>
            <w:pPr>
              <w:keepNext w:val="0"/>
              <w:keepLines w:val="0"/>
              <w:suppressLineNumbers w:val="0"/>
              <w:snapToGrid w:val="0"/>
              <w:spacing w:before="0" w:beforeAutospacing="0" w:after="0" w:afterAutospacing="0"/>
              <w:ind w:left="0" w:right="0"/>
              <w:jc w:val="center"/>
              <w:rPr>
                <w:rFonts w:hint="eastAsia" w:ascii="宋体" w:hAnsi="宋体" w:eastAsia="宋体" w:cs="宋体"/>
              </w:rPr>
            </w:pPr>
          </w:p>
        </w:tc>
        <w:tc>
          <w:tcPr>
            <w:tcW w:w="229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311"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rPr>
          <w:rFonts w:hint="eastAsia" w:ascii="宋体" w:hAnsi="宋体" w:eastAsia="宋体" w:cs="宋体"/>
        </w:rPr>
      </w:pPr>
    </w:p>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69" w:name="_Toc520986948"/>
      <w:bookmarkStart w:id="270" w:name="_Toc1213"/>
      <w:r>
        <w:rPr>
          <w:rFonts w:hint="eastAsia" w:ascii="宋体" w:hAnsi="宋体" w:eastAsia="宋体" w:cs="宋体"/>
          <w:b w:val="0"/>
          <w:bCs/>
          <w:sz w:val="28"/>
          <w:szCs w:val="28"/>
        </w:rPr>
        <w:t>2.2</w:t>
      </w:r>
      <w:r>
        <w:rPr>
          <w:rFonts w:hint="eastAsia" w:ascii="宋体" w:hAnsi="宋体" w:cs="宋体"/>
          <w:b w:val="0"/>
          <w:bCs/>
          <w:sz w:val="28"/>
          <w:szCs w:val="28"/>
          <w:lang w:val="en-US" w:eastAsia="zh-CN"/>
        </w:rPr>
        <w:t xml:space="preserve"> </w:t>
      </w:r>
      <w:r>
        <w:rPr>
          <w:rFonts w:hint="eastAsia" w:ascii="宋体" w:hAnsi="宋体" w:eastAsia="宋体" w:cs="宋体"/>
          <w:b w:val="0"/>
          <w:bCs/>
          <w:sz w:val="28"/>
          <w:szCs w:val="28"/>
        </w:rPr>
        <w:t>干式变压器参数表</w:t>
      </w:r>
      <w:bookmarkEnd w:id="269"/>
      <w:bookmarkEnd w:id="270"/>
    </w:p>
    <w:p>
      <w:pPr>
        <w:snapToGrid w:val="0"/>
        <w:spacing w:line="360" w:lineRule="auto"/>
        <w:jc w:val="center"/>
        <w:rPr>
          <w:rFonts w:hint="eastAsia" w:ascii="宋体" w:hAnsi="宋体" w:eastAsia="宋体" w:cs="宋体"/>
          <w:kern w:val="28"/>
          <w:sz w:val="24"/>
          <w:szCs w:val="24"/>
          <w:lang w:eastAsia="zh-CN"/>
        </w:rPr>
      </w:pPr>
      <w:r>
        <w:rPr>
          <w:rFonts w:hint="eastAsia" w:ascii="宋体" w:hAnsi="宋体" w:eastAsia="宋体" w:cs="宋体"/>
          <w:kern w:val="28"/>
          <w:sz w:val="24"/>
          <w:szCs w:val="24"/>
          <w:lang w:eastAsia="zh-CN"/>
        </w:rPr>
        <w:t>表2.2-1   干式变压器技术参数表</w:t>
      </w:r>
    </w:p>
    <w:tbl>
      <w:tblPr>
        <w:tblStyle w:val="76"/>
        <w:tblW w:w="890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26"/>
        <w:gridCol w:w="718"/>
        <w:gridCol w:w="1447"/>
        <w:gridCol w:w="756"/>
        <w:gridCol w:w="2660"/>
        <w:gridCol w:w="2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b/>
                <w:highlight w:val="none"/>
              </w:rPr>
            </w:pPr>
            <w:r>
              <w:rPr>
                <w:rFonts w:hint="eastAsia" w:ascii="宋体" w:hAnsi="宋体" w:eastAsia="宋体" w:cs="宋体"/>
                <w:b/>
                <w:highlight w:val="none"/>
              </w:rPr>
              <w:t>序号</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1023" w:leftChars="143" w:right="699" w:rightChars="333" w:hanging="723" w:hangingChars="343"/>
              <w:jc w:val="center"/>
              <w:textAlignment w:val="auto"/>
              <w:rPr>
                <w:rFonts w:hint="eastAsia" w:ascii="宋体" w:hAnsi="宋体" w:eastAsia="宋体" w:cs="宋体"/>
                <w:b/>
                <w:highlight w:val="none"/>
              </w:rPr>
            </w:pPr>
            <w:r>
              <w:rPr>
                <w:rFonts w:hint="eastAsia" w:ascii="宋体" w:hAnsi="宋体" w:eastAsia="宋体" w:cs="宋体"/>
                <w:b/>
                <w:highlight w:val="none"/>
              </w:rPr>
              <w:t>名称</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b/>
                <w:highlight w:val="none"/>
              </w:rPr>
            </w:pPr>
            <w:r>
              <w:rPr>
                <w:rFonts w:hint="eastAsia" w:ascii="宋体" w:hAnsi="宋体" w:eastAsia="宋体" w:cs="宋体"/>
                <w:b/>
                <w:highlight w:val="none"/>
              </w:rPr>
              <w:t>单位</w:t>
            </w: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b/>
                <w:highlight w:val="none"/>
              </w:rPr>
            </w:pPr>
            <w:r>
              <w:rPr>
                <w:rFonts w:hint="eastAsia" w:ascii="宋体" w:hAnsi="宋体" w:eastAsia="宋体" w:cs="宋体"/>
                <w:b/>
                <w:highlight w:val="none"/>
              </w:rPr>
              <w:t>标准参数值</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b/>
                <w:highlight w:val="none"/>
              </w:rPr>
            </w:pPr>
            <w:r>
              <w:rPr>
                <w:rFonts w:hint="eastAsia" w:ascii="宋体" w:hAnsi="宋体" w:eastAsia="宋体" w:cs="宋体"/>
                <w:b/>
                <w:highlight w:val="none"/>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型号</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lang w:val="en-US" w:eastAsia="zh-CN"/>
              </w:rPr>
            </w:pPr>
            <w:r>
              <w:rPr>
                <w:rFonts w:hint="eastAsia" w:ascii="宋体" w:hAnsi="宋体" w:eastAsia="宋体" w:cs="宋体"/>
                <w:highlight w:val="none"/>
              </w:rPr>
              <w:t>1</w:t>
            </w:r>
            <w:r>
              <w:rPr>
                <w:rFonts w:hint="eastAsia" w:ascii="宋体" w:hAnsi="宋体" w:eastAsia="宋体" w:cs="宋体"/>
                <w:highlight w:val="none"/>
                <w:lang w:val="en-US" w:eastAsia="zh-CN"/>
              </w:rPr>
              <w:t>3</w:t>
            </w:r>
            <w:r>
              <w:rPr>
                <w:rFonts w:hint="eastAsia" w:ascii="宋体" w:hAnsi="宋体" w:eastAsia="宋体" w:cs="宋体"/>
                <w:highlight w:val="none"/>
              </w:rPr>
              <w:t>型</w:t>
            </w:r>
            <w:r>
              <w:rPr>
                <w:rFonts w:hint="eastAsia" w:ascii="宋体" w:hAnsi="宋体" w:eastAsia="宋体" w:cs="宋体"/>
                <w:highlight w:val="none"/>
                <w:lang w:val="en-US" w:eastAsia="zh-CN"/>
              </w:rPr>
              <w:t>(不低于三级能耗)</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生产厂家</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3</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额定容量</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kVA</w:t>
            </w: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lang w:val="en-US" w:eastAsia="zh-CN"/>
              </w:rPr>
            </w:pPr>
            <w:r>
              <w:rPr>
                <w:rFonts w:hint="eastAsia" w:ascii="宋体" w:hAnsi="宋体" w:cs="宋体"/>
                <w:lang w:val="en-US" w:eastAsia="zh-CN"/>
              </w:rPr>
              <w:t>2500/28</w:t>
            </w:r>
            <w:r>
              <w:rPr>
                <w:rFonts w:hint="eastAsia" w:ascii="宋体" w:hAnsi="宋体" w:eastAsia="宋体" w:cs="宋体"/>
                <w:lang w:val="en-US" w:eastAsia="zh-CN"/>
              </w:rPr>
              <w:t>00</w:t>
            </w:r>
            <w:r>
              <w:rPr>
                <w:rFonts w:hint="eastAsia" w:ascii="宋体" w:hAnsi="宋体" w:cs="宋体"/>
                <w:lang w:val="en-US" w:eastAsia="zh-CN"/>
              </w:rPr>
              <w:t>/3400</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4</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额定电压比</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kV</w:t>
            </w: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lang w:eastAsia="zh-CN"/>
              </w:rPr>
            </w:pPr>
            <w:r>
              <w:rPr>
                <w:rFonts w:hint="eastAsia" w:ascii="宋体" w:hAnsi="宋体" w:cs="宋体"/>
                <w:highlight w:val="none"/>
                <w:lang w:val="en-US" w:eastAsia="zh-CN"/>
              </w:rPr>
              <w:t>10.5</w:t>
            </w:r>
            <w:r>
              <w:rPr>
                <w:rFonts w:hint="eastAsia" w:ascii="宋体" w:hAnsi="宋体" w:eastAsia="宋体" w:cs="宋体"/>
                <w:highlight w:val="none"/>
              </w:rPr>
              <w:t>/0.</w:t>
            </w:r>
            <w:r>
              <w:rPr>
                <w:rFonts w:hint="eastAsia" w:ascii="宋体" w:hAnsi="宋体" w:eastAsia="宋体" w:cs="宋体"/>
                <w:highlight w:val="none"/>
                <w:lang w:val="en-US" w:eastAsia="zh-CN"/>
              </w:rPr>
              <w:t>8</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5</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分接范围</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cs="宋体"/>
                <w:highlight w:val="none"/>
                <w:lang w:val="en-US" w:eastAsia="zh-CN"/>
              </w:rPr>
              <w:t>10.5</w:t>
            </w:r>
            <w:r>
              <w:rPr>
                <w:rFonts w:hint="eastAsia" w:ascii="宋体" w:hAnsi="宋体" w:eastAsia="宋体" w:cs="宋体"/>
                <w:highlight w:val="none"/>
              </w:rPr>
              <w:t>±2×2.5％</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626"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6</w:t>
            </w:r>
          </w:p>
        </w:tc>
        <w:tc>
          <w:tcPr>
            <w:tcW w:w="2165" w:type="dxa"/>
            <w:gridSpan w:val="2"/>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额定电流</w:t>
            </w:r>
          </w:p>
        </w:tc>
        <w:tc>
          <w:tcPr>
            <w:tcW w:w="756"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A</w:t>
            </w:r>
          </w:p>
        </w:tc>
        <w:tc>
          <w:tcPr>
            <w:tcW w:w="266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eastAsia="宋体" w:cs="宋体"/>
                <w:highlight w:val="none"/>
                <w:lang w:val="en-US"/>
              </w:rPr>
            </w:pPr>
            <w:r>
              <w:rPr>
                <w:rFonts w:hint="eastAsia" w:ascii="宋体" w:hAnsi="宋体" w:eastAsia="宋体" w:cs="宋体"/>
                <w:highlight w:val="none"/>
              </w:rPr>
              <w:t>高压：</w:t>
            </w:r>
            <w:r>
              <w:rPr>
                <w:rFonts w:hint="eastAsia" w:ascii="宋体" w:hAnsi="宋体" w:cs="宋体"/>
                <w:highlight w:val="none"/>
                <w:lang w:val="en-US" w:eastAsia="zh-CN"/>
              </w:rPr>
              <w:t>XX/XX/XX</w:t>
            </w:r>
          </w:p>
        </w:tc>
        <w:tc>
          <w:tcPr>
            <w:tcW w:w="2699" w:type="dxa"/>
            <w:shd w:val="clear" w:color="auto" w:fill="auto"/>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75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firstLine="0" w:firstLineChars="0"/>
              <w:jc w:val="center"/>
              <w:textAlignment w:val="auto"/>
              <w:rPr>
                <w:rFonts w:hint="eastAsia" w:ascii="宋体" w:hAnsi="宋体" w:eastAsia="宋体" w:cs="宋体"/>
                <w:highlight w:val="none"/>
              </w:rPr>
            </w:pPr>
            <w:r>
              <w:rPr>
                <w:rFonts w:hint="eastAsia" w:ascii="宋体" w:hAnsi="宋体" w:eastAsia="宋体" w:cs="宋体"/>
                <w:highlight w:val="none"/>
              </w:rPr>
              <w:t>低压：</w:t>
            </w:r>
            <w:r>
              <w:rPr>
                <w:rFonts w:hint="eastAsia" w:ascii="宋体" w:hAnsi="宋体" w:cs="宋体"/>
                <w:highlight w:val="none"/>
                <w:lang w:val="en-US" w:eastAsia="zh-CN"/>
              </w:rPr>
              <w:t>XX/XX/XX</w:t>
            </w:r>
          </w:p>
        </w:tc>
        <w:tc>
          <w:tcPr>
            <w:tcW w:w="2699" w:type="dxa"/>
            <w:shd w:val="clear" w:color="auto" w:fill="auto"/>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26"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7</w:t>
            </w:r>
          </w:p>
        </w:tc>
        <w:tc>
          <w:tcPr>
            <w:tcW w:w="2165" w:type="dxa"/>
            <w:gridSpan w:val="2"/>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额定连续运行容量</w:t>
            </w:r>
          </w:p>
        </w:tc>
        <w:tc>
          <w:tcPr>
            <w:tcW w:w="756"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MVA</w:t>
            </w: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firstLine="0" w:firstLineChars="0"/>
              <w:jc w:val="center"/>
              <w:textAlignment w:val="auto"/>
              <w:rPr>
                <w:rFonts w:hint="default" w:ascii="宋体" w:hAnsi="宋体" w:eastAsia="宋体" w:cs="宋体"/>
                <w:highlight w:val="none"/>
                <w:lang w:val="en-US" w:eastAsia="zh-CN"/>
              </w:rPr>
            </w:pPr>
            <w:r>
              <w:rPr>
                <w:rFonts w:hint="eastAsia" w:ascii="宋体" w:hAnsi="宋体" w:eastAsia="宋体" w:cs="宋体"/>
                <w:highlight w:val="none"/>
              </w:rPr>
              <w:t>高压：</w:t>
            </w:r>
            <w:r>
              <w:rPr>
                <w:rFonts w:hint="eastAsia" w:ascii="宋体" w:hAnsi="宋体" w:cs="宋体"/>
                <w:highlight w:val="none"/>
                <w:lang w:val="en-US" w:eastAsia="zh-CN"/>
              </w:rPr>
              <w:t>2.5/2.8/3.4</w:t>
            </w:r>
          </w:p>
        </w:tc>
        <w:tc>
          <w:tcPr>
            <w:tcW w:w="2699" w:type="dxa"/>
            <w:shd w:val="clear" w:color="auto" w:fill="auto"/>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75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firstLine="0" w:firstLineChars="0"/>
              <w:jc w:val="center"/>
              <w:textAlignment w:val="auto"/>
              <w:rPr>
                <w:rFonts w:hint="eastAsia" w:ascii="宋体" w:hAnsi="宋体" w:eastAsia="宋体" w:cs="宋体"/>
                <w:highlight w:val="none"/>
                <w:lang w:eastAsia="zh-CN"/>
              </w:rPr>
            </w:pPr>
            <w:r>
              <w:rPr>
                <w:rFonts w:hint="eastAsia" w:ascii="宋体" w:hAnsi="宋体" w:eastAsia="宋体" w:cs="宋体"/>
                <w:highlight w:val="none"/>
              </w:rPr>
              <w:t>低压：</w:t>
            </w:r>
            <w:r>
              <w:rPr>
                <w:rFonts w:hint="eastAsia" w:ascii="宋体" w:hAnsi="宋体" w:cs="宋体"/>
                <w:highlight w:val="none"/>
                <w:lang w:val="en-US" w:eastAsia="zh-CN"/>
              </w:rPr>
              <w:t>2.5/2.8/3.4</w:t>
            </w:r>
          </w:p>
        </w:tc>
        <w:tc>
          <w:tcPr>
            <w:tcW w:w="2699" w:type="dxa"/>
            <w:shd w:val="clear" w:color="auto" w:fill="auto"/>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8</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绕组绝缘耐热等级</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F级及以上</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9</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调压方式</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无励磁(无载调压)</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10</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频率</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Hz</w:t>
            </w: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50</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11</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联接组别</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Dy11</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12</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冷却方式</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AN+风冷，自然冷却时变压器不降容</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13</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空载损耗（在主分接额定容量下，额定电压和额定频率75℃时）</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kW</w:t>
            </w: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14</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负载损耗（在主分接额定容量下，额定电压和额定频率75℃时)</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kW</w:t>
            </w: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15</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空载电流</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w:t>
            </w: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16</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额定效率</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17</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短路阻抗</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w:t>
            </w: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6</w:t>
            </w:r>
            <w:r>
              <w:rPr>
                <w:rFonts w:hint="eastAsia" w:ascii="宋体" w:hAnsi="宋体" w:eastAsia="宋体" w:cs="宋体"/>
                <w:highlight w:val="none"/>
                <w:lang w:val="en-US" w:eastAsia="zh-CN"/>
              </w:rPr>
              <w:t>%</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18</w:t>
            </w:r>
          </w:p>
        </w:tc>
        <w:tc>
          <w:tcPr>
            <w:tcW w:w="2165" w:type="dxa"/>
            <w:gridSpan w:val="2"/>
            <w:vMerge w:val="restart"/>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温升极限(周围环境温度高于45℃)</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100K</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铁心、金属构件及其邻近处材料的温度，不应对变压器任何部分造成损害, 按GB 1094.11</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19</w:t>
            </w:r>
          </w:p>
        </w:tc>
        <w:tc>
          <w:tcPr>
            <w:tcW w:w="2165" w:type="dxa"/>
            <w:gridSpan w:val="2"/>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承受甩负荷能力</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应能承受1.4倍的额定电压历时5s</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20</w:t>
            </w:r>
          </w:p>
        </w:tc>
        <w:tc>
          <w:tcPr>
            <w:tcW w:w="2165" w:type="dxa"/>
            <w:gridSpan w:val="2"/>
            <w:vMerge w:val="restart"/>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bookmarkStart w:id="271" w:name="_Toc262806994"/>
            <w:r>
              <w:rPr>
                <w:rFonts w:hint="eastAsia" w:ascii="宋体" w:hAnsi="宋体" w:eastAsia="宋体" w:cs="宋体"/>
                <w:highlight w:val="none"/>
              </w:rPr>
              <w:t>负载能力</w:t>
            </w:r>
            <w:bookmarkEnd w:id="271"/>
            <w:r>
              <w:rPr>
                <w:rFonts w:hint="eastAsia" w:ascii="宋体" w:hAnsi="宋体" w:eastAsia="宋体" w:cs="宋体"/>
                <w:highlight w:val="none"/>
              </w:rPr>
              <w:t>（在正常使用环境条件下）</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过电流(%)：120，允许运行时间(min) 240</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过电流(%)：130，允许运行时间(min) 120</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过电流(%)：145，允许运行时间(min) 60</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过电流(%)：160，允许运行时间(min) 45</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过电流(%)：175，允许运行时间(min) 20</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过电流(%)：200，允许运行时间(min) 10</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21</w:t>
            </w:r>
          </w:p>
        </w:tc>
        <w:tc>
          <w:tcPr>
            <w:tcW w:w="2165" w:type="dxa"/>
            <w:gridSpan w:val="2"/>
            <w:vMerge w:val="restart"/>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工频电压升高时的运行持续时间（额定频率下，额定电压的短时工频电压升高倍数）</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工频电压升高倍数，相-相1.05倍，相-地1.05倍，运行持续时间连续</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工频电压升高倍数，相-相1.25倍，相-地1.25倍，运行持续时间≮20s</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工频电压升高倍数，相-相1.50倍，相-地1.90倍，运行持续时间≮1s</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165" w:type="dxa"/>
            <w:gridSpan w:val="2"/>
            <w:vMerge w:val="continue"/>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工频电压升高倍数，相-相1.58倍，相-地2.00倍，运行持续时间≮0.1s</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22</w:t>
            </w:r>
          </w:p>
        </w:tc>
        <w:tc>
          <w:tcPr>
            <w:tcW w:w="718" w:type="dxa"/>
            <w:vMerge w:val="restart"/>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绝缘水平</w:t>
            </w:r>
          </w:p>
        </w:tc>
        <w:tc>
          <w:tcPr>
            <w:tcW w:w="1447"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高压绕组雷电冲击（全波）</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kV</w:t>
            </w: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default" w:ascii="宋体" w:hAnsi="宋体" w:eastAsia="宋体" w:cs="宋体"/>
                <w:highlight w:val="none"/>
                <w:lang w:val="en-US" w:eastAsia="zh-CN"/>
              </w:rPr>
            </w:pPr>
            <w:r>
              <w:rPr>
                <w:rFonts w:hint="eastAsia" w:ascii="宋体" w:hAnsi="宋体" w:cs="宋体"/>
                <w:highlight w:val="none"/>
                <w:lang w:val="en-US" w:eastAsia="zh-CN"/>
              </w:rPr>
              <w:t>75</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718"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1447"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高压绕组雷电 冲</w:t>
            </w:r>
            <w:bookmarkStart w:id="293" w:name="_GoBack"/>
            <w:bookmarkEnd w:id="293"/>
            <w:r>
              <w:rPr>
                <w:rFonts w:hint="eastAsia" w:ascii="宋体" w:hAnsi="宋体" w:eastAsia="宋体" w:cs="宋体"/>
                <w:highlight w:val="none"/>
              </w:rPr>
              <w:t>击（截波）</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kV</w:t>
            </w: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default" w:ascii="宋体" w:hAnsi="宋体" w:eastAsia="宋体" w:cs="宋体"/>
                <w:highlight w:val="none"/>
                <w:lang w:val="en-US" w:eastAsia="zh-CN"/>
              </w:rPr>
            </w:pP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718"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1447"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高压绕组工频耐压</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kV</w:t>
            </w: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default" w:ascii="宋体" w:hAnsi="宋体" w:eastAsia="宋体" w:cs="宋体"/>
                <w:highlight w:val="none"/>
                <w:lang w:val="en-US" w:eastAsia="zh-CN"/>
              </w:rPr>
            </w:pPr>
            <w:r>
              <w:rPr>
                <w:rFonts w:hint="eastAsia" w:ascii="宋体" w:hAnsi="宋体" w:cs="宋体"/>
                <w:highlight w:val="none"/>
                <w:lang w:val="en-US" w:eastAsia="zh-CN"/>
              </w:rPr>
              <w:t>35</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718" w:type="dxa"/>
            <w:vMerge w:val="continue"/>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1447"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低压绕组工频耐压</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kV</w:t>
            </w:r>
          </w:p>
        </w:tc>
        <w:tc>
          <w:tcPr>
            <w:tcW w:w="2660"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23</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过载能力</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firstLine="42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符合《干式电力变压器负载导则》的要求</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24</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抗短路能力（卖方应提供短路时绕组动、热稳定的计算书）</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firstLine="42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topLinePunct w:val="0"/>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短路持续时间3秒钟</w:t>
            </w:r>
          </w:p>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cs="宋体"/>
                <w:highlight w:val="none"/>
                <w:lang w:val="en-US" w:eastAsia="zh-CN"/>
              </w:rPr>
              <w:t>10</w:t>
            </w:r>
            <w:r>
              <w:rPr>
                <w:rFonts w:hint="eastAsia" w:ascii="宋体" w:hAnsi="宋体" w:eastAsia="宋体" w:cs="宋体"/>
                <w:highlight w:val="none"/>
              </w:rPr>
              <w:t>kV侧：三相短路电流有效值</w:t>
            </w:r>
            <w:r>
              <w:rPr>
                <w:rFonts w:hint="eastAsia" w:ascii="宋体" w:hAnsi="宋体" w:cs="宋体"/>
                <w:highlight w:val="none"/>
                <w:lang w:val="en-US" w:eastAsia="zh-CN"/>
              </w:rPr>
              <w:t>2</w:t>
            </w:r>
            <w:r>
              <w:rPr>
                <w:rFonts w:hint="eastAsia" w:ascii="宋体" w:hAnsi="宋体" w:eastAsia="宋体" w:cs="宋体"/>
                <w:highlight w:val="none"/>
                <w:lang w:val="en-US" w:eastAsia="zh-CN"/>
              </w:rPr>
              <w:t>5</w:t>
            </w:r>
            <w:r>
              <w:rPr>
                <w:rFonts w:hint="eastAsia" w:ascii="宋体" w:hAnsi="宋体" w:eastAsia="宋体" w:cs="宋体"/>
                <w:highlight w:val="none"/>
              </w:rPr>
              <w:t>kA</w:t>
            </w:r>
          </w:p>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0.</w:t>
            </w:r>
            <w:r>
              <w:rPr>
                <w:rFonts w:hint="eastAsia" w:ascii="宋体" w:hAnsi="宋体" w:eastAsia="宋体" w:cs="宋体"/>
                <w:highlight w:val="none"/>
                <w:lang w:val="en-US" w:eastAsia="zh-CN"/>
              </w:rPr>
              <w:t>8</w:t>
            </w:r>
            <w:r>
              <w:rPr>
                <w:rFonts w:hint="eastAsia" w:ascii="宋体" w:hAnsi="宋体" w:eastAsia="宋体" w:cs="宋体"/>
                <w:highlight w:val="none"/>
              </w:rPr>
              <w:t>kV侧：三相短路电流有</w:t>
            </w:r>
            <w:r>
              <w:rPr>
                <w:rFonts w:hint="eastAsia" w:ascii="宋体" w:hAnsi="宋体" w:eastAsia="宋体" w:cs="宋体"/>
                <w:highlight w:val="yellow"/>
              </w:rPr>
              <w:t>效值</w:t>
            </w:r>
            <w:r>
              <w:rPr>
                <w:rFonts w:hint="eastAsia" w:ascii="宋体" w:hAnsi="宋体" w:cs="宋体"/>
                <w:highlight w:val="yellow"/>
                <w:lang w:val="en-US" w:eastAsia="zh-CN"/>
              </w:rPr>
              <w:t>65</w:t>
            </w:r>
            <w:r>
              <w:rPr>
                <w:rFonts w:hint="eastAsia" w:ascii="宋体" w:hAnsi="宋体" w:eastAsia="宋体" w:cs="宋体"/>
                <w:highlight w:val="yellow"/>
              </w:rPr>
              <w:t>kA</w:t>
            </w:r>
          </w:p>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（箱式变压器阻抗电压</w:t>
            </w:r>
            <w:r>
              <w:rPr>
                <w:rFonts w:hint="eastAsia" w:ascii="宋体" w:hAnsi="宋体" w:cs="宋体"/>
                <w:highlight w:val="none"/>
                <w:lang w:val="en-US" w:eastAsia="zh-CN"/>
              </w:rPr>
              <w:t>6</w:t>
            </w:r>
            <w:r>
              <w:rPr>
                <w:rFonts w:hint="eastAsia" w:ascii="宋体" w:hAnsi="宋体" w:eastAsia="宋体" w:cs="宋体"/>
                <w:highlight w:val="none"/>
              </w:rPr>
              <w:t>%计算）</w:t>
            </w: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25</w:t>
            </w:r>
          </w:p>
        </w:tc>
        <w:tc>
          <w:tcPr>
            <w:tcW w:w="2165" w:type="dxa"/>
            <w:gridSpan w:val="2"/>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出厂局部放电水平（在1.5倍最高相电压下）</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firstLine="420"/>
              <w:jc w:val="center"/>
              <w:textAlignment w:val="auto"/>
              <w:rPr>
                <w:rFonts w:hint="eastAsia" w:ascii="宋体" w:hAnsi="宋体" w:eastAsia="宋体" w:cs="宋体"/>
                <w:highlight w:val="none"/>
              </w:rPr>
            </w:pPr>
          </w:p>
        </w:tc>
        <w:tc>
          <w:tcPr>
            <w:tcW w:w="2660" w:type="dxa"/>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26</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泄漏比距</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cm/kV</w:t>
            </w: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按e级污秽等级</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27</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环境等级</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E2</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eastAsia="宋体" w:cs="宋体"/>
                <w:highlight w:val="none"/>
                <w:lang w:val="en-US" w:eastAsia="zh-CN"/>
              </w:rPr>
            </w:pPr>
            <w:r>
              <w:rPr>
                <w:rFonts w:hint="eastAsia" w:ascii="宋体" w:hAnsi="宋体" w:cs="宋体"/>
                <w:highlight w:val="none"/>
                <w:lang w:val="en-US" w:eastAsia="zh-CN"/>
              </w:rPr>
              <w:t>28</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szCs w:val="21"/>
                <w:lang w:val="en-US" w:eastAsia="zh-CN"/>
              </w:rPr>
              <w:t>气候等级</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lang w:val="en-US" w:eastAsia="zh-CN"/>
              </w:rPr>
              <w:t>C2</w:t>
            </w:r>
          </w:p>
        </w:tc>
        <w:tc>
          <w:tcPr>
            <w:tcW w:w="2699" w:type="dxa"/>
            <w:vAlign w:val="center"/>
          </w:tcPr>
          <w:p>
            <w:pPr>
              <w:keepNext w:val="0"/>
              <w:keepLines w:val="0"/>
              <w:pageBreakBefore w:val="0"/>
              <w:widowControl w:val="0"/>
              <w:suppressLineNumbers w:val="0"/>
              <w:kinsoku/>
              <w:wordWrap/>
              <w:overflowPunct/>
              <w:autoSpaceDE/>
              <w:autoSpaceDN/>
              <w:bidi w:val="0"/>
              <w:adjustRightInd/>
              <w:spacing w:before="0" w:beforeAutospacing="0" w:after="0" w:afterAutospacing="0" w:line="240" w:lineRule="auto"/>
              <w:ind w:left="0" w:righ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2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29</w:t>
            </w:r>
          </w:p>
        </w:tc>
        <w:tc>
          <w:tcPr>
            <w:tcW w:w="2165" w:type="dxa"/>
            <w:gridSpan w:val="2"/>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highlight w:val="none"/>
              </w:rPr>
              <w:t>气体继电器</w:t>
            </w:r>
          </w:p>
        </w:tc>
        <w:tc>
          <w:tcPr>
            <w:tcW w:w="756"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60" w:type="dxa"/>
            <w:vAlign w:val="center"/>
          </w:tcPr>
          <w:p>
            <w:pPr>
              <w:keepNext w:val="0"/>
              <w:keepLines w:val="0"/>
              <w:pageBreakBefore w:val="0"/>
              <w:widowControl w:val="0"/>
              <w:suppressLineNumbers w:val="0"/>
              <w:kinsoku/>
              <w:wordWrap/>
              <w:overflowPunct/>
              <w:autoSpaceDE/>
              <w:autoSpaceDN/>
              <w:bidi w:val="0"/>
              <w:adjustRightInd/>
              <w:snapToGrid w:val="0"/>
              <w:spacing w:before="48" w:beforeLines="20" w:beforeAutospacing="0" w:after="48" w:afterLines="20" w:afterAutospacing="0" w:line="240" w:lineRule="auto"/>
              <w:ind w:left="0" w:right="0"/>
              <w:jc w:val="center"/>
              <w:textAlignment w:val="auto"/>
              <w:rPr>
                <w:rFonts w:hint="eastAsia" w:ascii="宋体" w:hAnsi="宋体" w:eastAsia="宋体" w:cs="宋体"/>
                <w:sz w:val="22"/>
                <w:szCs w:val="22"/>
                <w:highlight w:val="none"/>
              </w:rPr>
            </w:pPr>
          </w:p>
        </w:tc>
        <w:tc>
          <w:tcPr>
            <w:tcW w:w="2699" w:type="dxa"/>
            <w:vAlign w:val="center"/>
          </w:tcPr>
          <w:p>
            <w:pPr>
              <w:keepNext w:val="0"/>
              <w:keepLines w:val="0"/>
              <w:pageBreakBefore w:val="0"/>
              <w:widowControl w:val="0"/>
              <w:suppressLineNumbers w:val="0"/>
              <w:kinsoku/>
              <w:wordWrap/>
              <w:overflowPunct/>
              <w:autoSpaceDE/>
              <w:autoSpaceDN/>
              <w:bidi w:val="0"/>
              <w:adjustRightInd/>
              <w:snapToGrid w:val="0"/>
              <w:spacing w:before="0" w:beforeAutospacing="0" w:after="0" w:afterAutospacing="0" w:line="240" w:lineRule="auto"/>
              <w:ind w:left="0" w:right="0"/>
              <w:jc w:val="center"/>
              <w:textAlignment w:val="auto"/>
              <w:rPr>
                <w:rFonts w:hint="eastAsia" w:ascii="宋体" w:hAnsi="宋体" w:eastAsia="宋体" w:cs="宋体"/>
                <w:highlight w:val="none"/>
              </w:rPr>
            </w:pPr>
            <w:r>
              <w:rPr>
                <w:rFonts w:hint="eastAsia" w:ascii="宋体" w:hAnsi="宋体" w:eastAsia="宋体" w:cs="宋体"/>
                <w:sz w:val="21"/>
                <w:szCs w:val="21"/>
                <w:highlight w:val="none"/>
              </w:rPr>
              <w:t>（投标人提供）</w:t>
            </w:r>
          </w:p>
        </w:tc>
      </w:tr>
    </w:tbl>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72" w:name="_Toc5222"/>
      <w:bookmarkStart w:id="273" w:name="_Toc520986949"/>
      <w:r>
        <w:rPr>
          <w:rFonts w:hint="eastAsia" w:ascii="宋体" w:hAnsi="宋体" w:eastAsia="宋体" w:cs="宋体"/>
          <w:b w:val="0"/>
          <w:bCs/>
          <w:sz w:val="28"/>
          <w:szCs w:val="28"/>
        </w:rPr>
        <w:t>2.3 高压侧技术参数表</w:t>
      </w:r>
      <w:bookmarkEnd w:id="272"/>
      <w:bookmarkEnd w:id="273"/>
    </w:p>
    <w:p>
      <w:pPr>
        <w:snapToGrid w:val="0"/>
        <w:spacing w:line="360" w:lineRule="auto"/>
        <w:jc w:val="center"/>
        <w:rPr>
          <w:rFonts w:hint="eastAsia" w:ascii="宋体" w:hAnsi="宋体" w:eastAsia="宋体" w:cs="宋体"/>
          <w:kern w:val="28"/>
          <w:sz w:val="24"/>
          <w:szCs w:val="24"/>
          <w:lang w:eastAsia="zh-CN"/>
        </w:rPr>
      </w:pPr>
      <w:r>
        <w:rPr>
          <w:rFonts w:hint="eastAsia" w:ascii="宋体" w:hAnsi="宋体" w:eastAsia="宋体" w:cs="宋体"/>
          <w:kern w:val="28"/>
          <w:sz w:val="24"/>
          <w:szCs w:val="24"/>
          <w:lang w:eastAsia="zh-CN"/>
        </w:rPr>
        <w:t xml:space="preserve">表2.3-1  </w:t>
      </w:r>
      <w:r>
        <w:rPr>
          <w:rFonts w:hint="eastAsia" w:ascii="宋体" w:hAnsi="宋体" w:cs="宋体"/>
          <w:kern w:val="28"/>
          <w:sz w:val="24"/>
          <w:szCs w:val="24"/>
          <w:lang w:val="en-US" w:eastAsia="zh-CN"/>
        </w:rPr>
        <w:t>10</w:t>
      </w:r>
      <w:r>
        <w:rPr>
          <w:rFonts w:hint="eastAsia" w:ascii="宋体" w:hAnsi="宋体" w:eastAsia="宋体" w:cs="宋体"/>
          <w:kern w:val="28"/>
          <w:sz w:val="24"/>
          <w:szCs w:val="24"/>
          <w:lang w:eastAsia="zh-CN"/>
        </w:rPr>
        <w:t>kV</w:t>
      </w:r>
      <w:r>
        <w:rPr>
          <w:rFonts w:hint="eastAsia" w:ascii="宋体" w:hAnsi="宋体" w:cs="宋体"/>
          <w:kern w:val="28"/>
          <w:sz w:val="24"/>
          <w:szCs w:val="24"/>
          <w:lang w:val="en-US" w:eastAsia="zh-CN"/>
        </w:rPr>
        <w:t>真空断路器</w:t>
      </w:r>
      <w:r>
        <w:rPr>
          <w:rFonts w:hint="eastAsia" w:ascii="宋体" w:hAnsi="宋体" w:eastAsia="宋体" w:cs="宋体"/>
          <w:kern w:val="28"/>
          <w:sz w:val="24"/>
          <w:szCs w:val="24"/>
          <w:lang w:eastAsia="zh-CN"/>
        </w:rPr>
        <w:t>技术参数表（采用优质知名品牌）</w:t>
      </w:r>
    </w:p>
    <w:tbl>
      <w:tblPr>
        <w:tblStyle w:val="76"/>
        <w:tblW w:w="88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93"/>
        <w:gridCol w:w="819"/>
        <w:gridCol w:w="2047"/>
        <w:gridCol w:w="24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b/>
                <w:highlight w:val="none"/>
              </w:rPr>
            </w:pPr>
            <w:r>
              <w:rPr>
                <w:rFonts w:hint="default" w:ascii="宋体" w:hAnsi="宋体"/>
                <w:b/>
                <w:highlight w:val="none"/>
              </w:rPr>
              <w:t>序号</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1025" w:leftChars="488" w:right="699" w:rightChars="333"/>
              <w:jc w:val="center"/>
              <w:textAlignment w:val="auto"/>
              <w:rPr>
                <w:rFonts w:hint="default" w:ascii="宋体" w:hAnsi="宋体"/>
                <w:b/>
                <w:highlight w:val="none"/>
              </w:rPr>
            </w:pPr>
            <w:r>
              <w:rPr>
                <w:rFonts w:hint="eastAsia" w:ascii="宋体" w:hAnsi="宋体"/>
                <w:b/>
                <w:highlight w:val="none"/>
              </w:rPr>
              <w:t>名称</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b/>
                <w:highlight w:val="none"/>
              </w:rPr>
            </w:pPr>
            <w:r>
              <w:rPr>
                <w:rFonts w:hint="default" w:ascii="宋体" w:hAnsi="宋体"/>
                <w:b/>
                <w:highlight w:val="none"/>
              </w:rPr>
              <w:t>单位</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b/>
                <w:highlight w:val="none"/>
              </w:rPr>
            </w:pPr>
            <w:r>
              <w:rPr>
                <w:rFonts w:hint="eastAsia" w:ascii="宋体" w:hAnsi="宋体"/>
                <w:b/>
                <w:highlight w:val="none"/>
              </w:rPr>
              <w:t>标准参数</w:t>
            </w:r>
            <w:r>
              <w:rPr>
                <w:rFonts w:hint="default" w:ascii="宋体" w:hAnsi="宋体"/>
                <w:b/>
                <w:highlight w:val="none"/>
              </w:rPr>
              <w:t>值</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b/>
                <w:highlight w:val="none"/>
              </w:rPr>
            </w:pPr>
            <w:r>
              <w:rPr>
                <w:rFonts w:hint="eastAsia" w:ascii="宋体" w:hAnsi="宋体"/>
                <w:b/>
                <w:highlight w:val="none"/>
              </w:rPr>
              <w:t>卖方</w:t>
            </w:r>
            <w:r>
              <w:rPr>
                <w:rFonts w:hint="default" w:ascii="宋体" w:hAnsi="宋体"/>
                <w:b/>
                <w:highlight w:val="none"/>
              </w:rPr>
              <w:t>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1</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eastAsia" w:ascii="宋体" w:hAnsi="宋体"/>
                <w:highlight w:val="none"/>
              </w:rPr>
              <w:t>型号</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2</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eastAsia" w:ascii="宋体" w:hAnsi="宋体"/>
                <w:highlight w:val="none"/>
              </w:rPr>
              <w:t>生产厂家</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3</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eastAsia" w:ascii="宋体" w:hAnsi="宋体"/>
                <w:highlight w:val="none"/>
              </w:rPr>
              <w:t>额定电压</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kV</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eastAsia="宋体"/>
                <w:highlight w:val="none"/>
                <w:lang w:val="en-US" w:eastAsia="zh-CN"/>
              </w:rPr>
            </w:pPr>
            <w:r>
              <w:rPr>
                <w:rFonts w:hint="eastAsia" w:ascii="宋体" w:hAnsi="宋体"/>
                <w:highlight w:val="none"/>
                <w:lang w:val="en-US" w:eastAsia="zh-CN"/>
              </w:rPr>
              <w:t>10</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4</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eastAsia" w:ascii="宋体" w:hAnsi="宋体"/>
                <w:highlight w:val="none"/>
              </w:rPr>
              <w:t>最高工作电压</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kV</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eastAsia="宋体"/>
                <w:highlight w:val="none"/>
                <w:lang w:val="en-US" w:eastAsia="zh-CN"/>
              </w:rPr>
            </w:pPr>
            <w:r>
              <w:rPr>
                <w:rFonts w:hint="eastAsia" w:ascii="宋体" w:hAnsi="宋体"/>
                <w:highlight w:val="none"/>
                <w:lang w:val="en-US" w:eastAsia="zh-CN"/>
              </w:rPr>
              <w:t>12</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5</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额定频率</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Hz</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50</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6</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额定电流</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A</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630</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7</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额定短路开断电流（有效值）</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kA</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25</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8</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额定短路关合电流（峰值）</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kA</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eastAsia="宋体"/>
                <w:highlight w:val="none"/>
                <w:lang w:val="en-US" w:eastAsia="zh-CN"/>
              </w:rPr>
            </w:pPr>
            <w:r>
              <w:rPr>
                <w:rFonts w:hint="eastAsia" w:ascii="宋体" w:hAnsi="宋体"/>
                <w:highlight w:val="none"/>
                <w:lang w:val="en-US" w:eastAsia="zh-CN"/>
              </w:rPr>
              <w:t>63</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9</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额定短时耐受电流/持续时间</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kA/s</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25/4</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10</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额定峰值耐受电流</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kA</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eastAsia="宋体"/>
                <w:highlight w:val="none"/>
                <w:lang w:val="en-US" w:eastAsia="zh-CN"/>
              </w:rPr>
            </w:pPr>
            <w:r>
              <w:rPr>
                <w:rFonts w:hint="eastAsia" w:ascii="宋体" w:hAnsi="宋体"/>
                <w:highlight w:val="none"/>
                <w:lang w:val="en-US" w:eastAsia="zh-CN"/>
              </w:rPr>
              <w:t>63</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11</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额定操作顺序</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default" w:ascii="宋体" w:hAnsi="宋体"/>
                <w:highlight w:val="none"/>
              </w:rPr>
              <w:t>O-0.3s-CO-180s-CO</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12</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额定短路电流开断次数</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default" w:ascii="宋体" w:hAnsi="宋体"/>
                <w:highlight w:val="none"/>
              </w:rPr>
              <w:t>不小于20次</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13</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default" w:ascii="宋体" w:hAnsi="宋体"/>
                <w:highlight w:val="none"/>
              </w:rPr>
              <w:t>机械寿命 (次)</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default" w:ascii="宋体" w:hAnsi="宋体"/>
                <w:highlight w:val="none"/>
              </w:rPr>
              <w:t>大于10000次</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14</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eastAsia" w:ascii="宋体" w:hAnsi="宋体"/>
                <w:highlight w:val="none"/>
              </w:rPr>
              <w:t>操动机构电源</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V</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AC380/220</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15</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eastAsia" w:ascii="宋体" w:hAnsi="宋体"/>
                <w:highlight w:val="none"/>
              </w:rPr>
              <w:t>控制电源</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V</w:t>
            </w: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AC220</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16</w:t>
            </w:r>
          </w:p>
        </w:tc>
        <w:tc>
          <w:tcPr>
            <w:tcW w:w="2793" w:type="dxa"/>
            <w:vAlign w:val="center"/>
          </w:tcPr>
          <w:p>
            <w:pPr>
              <w:keepNext w:val="0"/>
              <w:keepLines w:val="0"/>
              <w:pageBreakBefore w:val="0"/>
              <w:widowControl w:val="0"/>
              <w:suppressLineNumbers w:val="0"/>
              <w:kinsoku/>
              <w:wordWrap/>
              <w:overflowPunct/>
              <w:topLinePunct/>
              <w:autoSpaceDE/>
              <w:autoSpaceDN/>
              <w:bidi w:val="0"/>
              <w:adjustRightInd/>
              <w:spacing w:before="0" w:beforeAutospacing="0" w:after="0" w:afterAutospacing="0" w:line="240" w:lineRule="auto"/>
              <w:ind w:left="0" w:right="0"/>
              <w:textAlignment w:val="auto"/>
              <w:rPr>
                <w:rFonts w:hint="default" w:ascii="宋体" w:hAnsi="宋体"/>
                <w:highlight w:val="none"/>
              </w:rPr>
            </w:pPr>
            <w:r>
              <w:rPr>
                <w:rFonts w:hint="eastAsia" w:ascii="宋体" w:hAnsi="宋体"/>
                <w:highlight w:val="none"/>
              </w:rPr>
              <w:t>五防闭锁</w:t>
            </w:r>
          </w:p>
        </w:tc>
        <w:tc>
          <w:tcPr>
            <w:tcW w:w="819"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p>
        </w:tc>
        <w:tc>
          <w:tcPr>
            <w:tcW w:w="204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highlight w:val="none"/>
              </w:rPr>
              <w:t>由其和其他设备组成的箱式变高压部分应能满足五防闭锁的要求</w:t>
            </w:r>
          </w:p>
        </w:tc>
        <w:tc>
          <w:tcPr>
            <w:tcW w:w="2457" w:type="dxa"/>
            <w:vAlign w:val="center"/>
          </w:tcPr>
          <w:p>
            <w:pPr>
              <w:keepNext w:val="0"/>
              <w:keepLines w:val="0"/>
              <w:pageBreakBefore w:val="0"/>
              <w:widowControl w:val="0"/>
              <w:suppressLineNumbers w:val="0"/>
              <w:kinsoku/>
              <w:wordWrap/>
              <w:overflowPunct/>
              <w:topLinePunct/>
              <w:autoSpaceDE/>
              <w:autoSpaceDN/>
              <w:bidi w:val="0"/>
              <w:adjustRightInd/>
              <w:snapToGrid w:val="0"/>
              <w:spacing w:before="48" w:beforeLines="20" w:beforeAutospacing="0" w:after="48" w:afterLines="20" w:afterAutospacing="0" w:line="240" w:lineRule="auto"/>
              <w:ind w:left="0" w:right="0"/>
              <w:jc w:val="center"/>
              <w:textAlignment w:val="auto"/>
              <w:rPr>
                <w:rFonts w:hint="default" w:ascii="宋体" w:hAnsi="宋体"/>
                <w:highlight w:val="none"/>
              </w:rPr>
            </w:pPr>
            <w:r>
              <w:rPr>
                <w:rFonts w:hint="eastAsia" w:ascii="宋体" w:hAnsi="宋体" w:eastAsia="宋体" w:cs="宋体"/>
                <w:sz w:val="21"/>
                <w:szCs w:val="21"/>
                <w:highlight w:val="none"/>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 xml:space="preserve">表2.3-2  </w:t>
      </w:r>
      <w:r>
        <w:rPr>
          <w:rFonts w:hint="eastAsia" w:ascii="宋体" w:hAnsi="宋体" w:eastAsia="宋体" w:cs="宋体"/>
          <w:kern w:val="28"/>
          <w:sz w:val="24"/>
          <w:szCs w:val="24"/>
          <w:lang w:val="en-US" w:eastAsia="zh-CN"/>
        </w:rPr>
        <w:t>10</w:t>
      </w:r>
      <w:r>
        <w:rPr>
          <w:rFonts w:hint="eastAsia" w:ascii="宋体" w:hAnsi="宋体" w:eastAsia="宋体" w:cs="宋体"/>
          <w:kern w:val="28"/>
          <w:sz w:val="24"/>
          <w:szCs w:val="24"/>
        </w:rPr>
        <w:t>kV电流电压互感器技术参数表（采用优质知名品牌）</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61"/>
        <w:gridCol w:w="32"/>
        <w:gridCol w:w="677"/>
        <w:gridCol w:w="2189"/>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b/>
                <w:highlight w:val="none"/>
              </w:rPr>
            </w:pPr>
            <w:r>
              <w:rPr>
                <w:rFonts w:hint="default" w:ascii="宋体" w:hAnsi="宋体"/>
                <w:b/>
                <w:highlight w:val="none"/>
              </w:rPr>
              <w:t>序号</w:t>
            </w:r>
          </w:p>
        </w:tc>
        <w:tc>
          <w:tcPr>
            <w:tcW w:w="2761"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default" w:ascii="宋体" w:hAnsi="宋体"/>
                <w:b/>
                <w:highlight w:val="none"/>
              </w:rPr>
            </w:pPr>
            <w:r>
              <w:rPr>
                <w:rFonts w:hint="eastAsia" w:ascii="宋体" w:hAnsi="宋体"/>
                <w:b/>
                <w:highlight w:val="none"/>
              </w:rPr>
              <w:t>名称</w:t>
            </w:r>
          </w:p>
        </w:tc>
        <w:tc>
          <w:tcPr>
            <w:tcW w:w="709" w:type="dxa"/>
            <w:gridSpan w:val="2"/>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b/>
                <w:highlight w:val="none"/>
              </w:rPr>
            </w:pPr>
            <w:r>
              <w:rPr>
                <w:rFonts w:hint="default" w:ascii="宋体" w:hAnsi="宋体"/>
                <w:b/>
                <w:highlight w:val="none"/>
              </w:rPr>
              <w:t>单位</w:t>
            </w:r>
          </w:p>
        </w:tc>
        <w:tc>
          <w:tcPr>
            <w:tcW w:w="2189"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b/>
                <w:highlight w:val="none"/>
              </w:rPr>
            </w:pPr>
            <w:r>
              <w:rPr>
                <w:rFonts w:hint="eastAsia" w:ascii="宋体" w:hAnsi="宋体"/>
                <w:b/>
                <w:highlight w:val="none"/>
              </w:rPr>
              <w:t>标准参数</w:t>
            </w:r>
            <w:r>
              <w:rPr>
                <w:rFonts w:hint="default" w:ascii="宋体" w:hAnsi="宋体"/>
                <w:b/>
                <w:highlight w:val="none"/>
              </w:rPr>
              <w:t>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b/>
                <w:highlight w:val="none"/>
              </w:rPr>
            </w:pPr>
            <w:r>
              <w:rPr>
                <w:rFonts w:hint="eastAsia" w:ascii="宋体" w:hAnsi="宋体"/>
                <w:b/>
                <w:highlight w:val="none"/>
              </w:rPr>
              <w:t>卖方</w:t>
            </w:r>
            <w:r>
              <w:rPr>
                <w:rFonts w:hint="default" w:ascii="宋体" w:hAnsi="宋体"/>
                <w:b/>
                <w:highlight w:val="none"/>
              </w:rPr>
              <w:t>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b/>
                <w:highlight w:val="none"/>
              </w:rPr>
              <w:t>（一）</w:t>
            </w:r>
          </w:p>
        </w:tc>
        <w:tc>
          <w:tcPr>
            <w:tcW w:w="8222" w:type="dxa"/>
            <w:gridSpan w:val="5"/>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b/>
                <w:highlight w:val="none"/>
              </w:rPr>
              <w:t>高压侧电流互感器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1</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default" w:ascii="宋体" w:hAnsi="宋体"/>
                <w:highlight w:val="none"/>
              </w:rPr>
              <w:t>型</w:t>
            </w:r>
            <w:r>
              <w:rPr>
                <w:rFonts w:hint="eastAsia" w:ascii="宋体" w:hAnsi="宋体"/>
                <w:highlight w:val="none"/>
              </w:rPr>
              <w:t>式</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2</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生产厂家</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3</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额定电压</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kV</w:t>
            </w: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eastAsia="宋体"/>
                <w:highlight w:val="none"/>
                <w:lang w:val="en-US" w:eastAsia="zh-CN"/>
              </w:rPr>
            </w:pPr>
            <w:r>
              <w:rPr>
                <w:rFonts w:hint="eastAsia" w:ascii="宋体" w:hAnsi="宋体"/>
                <w:highlight w:val="none"/>
                <w:lang w:val="en-US" w:eastAsia="zh-CN"/>
              </w:rPr>
              <w:t>10</w:t>
            </w: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4</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额定电流</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A</w:t>
            </w: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highlight w:val="none"/>
                <w:lang w:val="en-US" w:eastAsia="zh-CN"/>
              </w:rPr>
              <w:t>3</w:t>
            </w:r>
            <w:r>
              <w:rPr>
                <w:rFonts w:hint="eastAsia" w:ascii="宋体" w:hAnsi="宋体"/>
                <w:highlight w:val="none"/>
              </w:rPr>
              <w:t>00</w:t>
            </w: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5</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二次侧额定电流</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A</w:t>
            </w:r>
          </w:p>
        </w:tc>
        <w:tc>
          <w:tcPr>
            <w:tcW w:w="2189" w:type="dxa"/>
            <w:vAlign w:val="center"/>
          </w:tcPr>
          <w:p>
            <w:pPr>
              <w:keepNext w:val="0"/>
              <w:keepLines w:val="0"/>
              <w:suppressLineNumbers w:val="0"/>
              <w:spacing w:before="0" w:beforeAutospacing="0" w:after="0" w:afterAutospacing="0"/>
              <w:ind w:left="0" w:right="0"/>
              <w:jc w:val="center"/>
              <w:rPr>
                <w:rFonts w:hint="eastAsia" w:ascii="宋体" w:hAnsi="宋体" w:eastAsia="宋体"/>
                <w:highlight w:val="none"/>
                <w:lang w:eastAsia="zh-CN"/>
              </w:rPr>
            </w:pPr>
            <w:r>
              <w:rPr>
                <w:rFonts w:hint="eastAsia" w:ascii="宋体" w:hAnsi="宋体"/>
                <w:highlight w:val="none"/>
                <w:lang w:val="en-US" w:eastAsia="zh-CN"/>
              </w:rPr>
              <w:t>5</w:t>
            </w: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6</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保护及指示用</w:t>
            </w:r>
            <w:r>
              <w:rPr>
                <w:rFonts w:hint="default" w:ascii="宋体" w:hAnsi="宋体"/>
                <w:highlight w:val="none"/>
              </w:rPr>
              <w:t>CT</w:t>
            </w:r>
            <w:r>
              <w:rPr>
                <w:rFonts w:hint="eastAsia" w:ascii="宋体" w:hAnsi="宋体"/>
                <w:highlight w:val="none"/>
              </w:rPr>
              <w:t>准确级</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级</w:t>
            </w: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highlight w:val="none"/>
              </w:rPr>
              <w:t>5P</w:t>
            </w:r>
            <w:r>
              <w:rPr>
                <w:rFonts w:hint="eastAsia" w:ascii="宋体" w:hAnsi="宋体"/>
                <w:highlight w:val="none"/>
                <w:lang w:val="en-US" w:eastAsia="zh-CN"/>
              </w:rPr>
              <w:t>30</w:t>
            </w:r>
            <w:r>
              <w:rPr>
                <w:rFonts w:hint="eastAsia" w:ascii="宋体" w:hAnsi="宋体"/>
                <w:highlight w:val="none"/>
              </w:rPr>
              <w:t>/5P</w:t>
            </w:r>
            <w:r>
              <w:rPr>
                <w:rFonts w:hint="eastAsia" w:ascii="宋体" w:hAnsi="宋体"/>
                <w:highlight w:val="none"/>
                <w:lang w:val="en-US" w:eastAsia="zh-CN"/>
              </w:rPr>
              <w:t>30</w:t>
            </w:r>
            <w:r>
              <w:rPr>
                <w:rFonts w:hint="eastAsia" w:ascii="宋体" w:hAnsi="宋体"/>
                <w:highlight w:val="none"/>
              </w:rPr>
              <w:t>/0.5</w:t>
            </w: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7</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容量</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VA</w:t>
            </w: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eastAsia="宋体"/>
                <w:highlight w:val="none"/>
                <w:lang w:val="en-US" w:eastAsia="zh-CN"/>
              </w:rPr>
            </w:pPr>
            <w:r>
              <w:rPr>
                <w:rFonts w:hint="eastAsia" w:ascii="宋体" w:hAnsi="宋体"/>
                <w:highlight w:val="none"/>
                <w:lang w:val="en-US" w:eastAsia="zh-CN"/>
              </w:rPr>
              <w:t>30</w:t>
            </w: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b/>
                <w:highlight w:val="none"/>
              </w:rPr>
              <w:t>（二）</w:t>
            </w:r>
          </w:p>
        </w:tc>
        <w:tc>
          <w:tcPr>
            <w:tcW w:w="8222" w:type="dxa"/>
            <w:gridSpan w:val="5"/>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b/>
                <w:highlight w:val="none"/>
              </w:rPr>
              <w:t>高压侧电压互感器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1</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default" w:ascii="宋体" w:hAnsi="宋体"/>
                <w:highlight w:val="none"/>
              </w:rPr>
              <w:t>型</w:t>
            </w:r>
            <w:r>
              <w:rPr>
                <w:rFonts w:hint="eastAsia" w:ascii="宋体" w:hAnsi="宋体"/>
                <w:highlight w:val="none"/>
              </w:rPr>
              <w:t>式</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2</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生产厂家</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3</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额定电压</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kV</w:t>
            </w: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highlight w:val="none"/>
                <w:lang w:val="en-US" w:eastAsia="zh-CN"/>
              </w:rPr>
              <w:t>10</w:t>
            </w:r>
            <w:r>
              <w:rPr>
                <w:rFonts w:hint="eastAsia" w:ascii="宋体" w:hAnsi="宋体"/>
                <w:highlight w:val="none"/>
              </w:rPr>
              <w:t>/√3/0.1/√3/0.1/√3/0.1/3</w:t>
            </w: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4</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准确级</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highlight w:val="none"/>
              </w:rPr>
              <w:t>0.2/0.5/3P</w:t>
            </w: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5</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default" w:ascii="宋体" w:hAnsi="宋体"/>
                <w:highlight w:val="none"/>
              </w:rPr>
            </w:pPr>
            <w:r>
              <w:rPr>
                <w:rFonts w:hint="eastAsia" w:ascii="宋体" w:hAnsi="宋体"/>
                <w:highlight w:val="none"/>
              </w:rPr>
              <w:t>容量</w:t>
            </w:r>
          </w:p>
        </w:tc>
        <w:tc>
          <w:tcPr>
            <w:tcW w:w="677" w:type="dxa"/>
            <w:vAlign w:val="center"/>
          </w:tcPr>
          <w:p>
            <w:pPr>
              <w:keepNext w:val="0"/>
              <w:keepLines w:val="0"/>
              <w:suppressLineNumbers w:val="0"/>
              <w:snapToGrid w:val="0"/>
              <w:spacing w:before="48" w:beforeLines="20" w:beforeAutospacing="0" w:after="48" w:afterLines="20" w:afterAutospacing="0"/>
              <w:ind w:left="0" w:right="0"/>
              <w:jc w:val="center"/>
              <w:rPr>
                <w:rFonts w:hint="default" w:ascii="宋体" w:hAnsi="宋体"/>
                <w:highlight w:val="none"/>
              </w:rPr>
            </w:pPr>
            <w:r>
              <w:rPr>
                <w:rFonts w:hint="eastAsia" w:ascii="宋体" w:hAnsi="宋体"/>
                <w:highlight w:val="none"/>
              </w:rPr>
              <w:t>VA</w:t>
            </w:r>
          </w:p>
        </w:tc>
        <w:tc>
          <w:tcPr>
            <w:tcW w:w="2189"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highlight w:val="none"/>
              </w:rPr>
              <w:t>50/50/100</w:t>
            </w:r>
          </w:p>
        </w:tc>
        <w:tc>
          <w:tcPr>
            <w:tcW w:w="2563" w:type="dxa"/>
            <w:vAlign w:val="center"/>
          </w:tcPr>
          <w:p>
            <w:pPr>
              <w:keepNext w:val="0"/>
              <w:keepLines w:val="0"/>
              <w:suppressLineNumbers w:val="0"/>
              <w:spacing w:before="0" w:beforeAutospacing="0" w:after="0" w:afterAutospacing="0"/>
              <w:ind w:left="0" w:right="0"/>
              <w:jc w:val="center"/>
              <w:rPr>
                <w:rFonts w:hint="default" w:ascii="宋体" w:hAnsi="宋体"/>
                <w:highlight w:val="none"/>
              </w:rPr>
            </w:pPr>
            <w:r>
              <w:rPr>
                <w:rFonts w:hint="eastAsia" w:ascii="宋体" w:hAnsi="宋体" w:eastAsia="宋体" w:cs="宋体"/>
                <w:sz w:val="21"/>
                <w:szCs w:val="21"/>
                <w:highlight w:val="none"/>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 xml:space="preserve">表2.3-3  </w:t>
      </w:r>
      <w:r>
        <w:rPr>
          <w:rFonts w:hint="eastAsia" w:ascii="宋体" w:hAnsi="宋体" w:cs="宋体"/>
          <w:kern w:val="28"/>
          <w:sz w:val="24"/>
          <w:szCs w:val="24"/>
          <w:lang w:val="en-US" w:eastAsia="zh-CN"/>
        </w:rPr>
        <w:t>10</w:t>
      </w:r>
      <w:r>
        <w:rPr>
          <w:rFonts w:hint="eastAsia" w:ascii="宋体" w:hAnsi="宋体" w:eastAsia="宋体" w:cs="宋体"/>
          <w:kern w:val="28"/>
          <w:sz w:val="24"/>
          <w:szCs w:val="24"/>
        </w:rPr>
        <w:t>kV避雷器技术参数表（配动作计数器）（采用优质知名品牌）</w:t>
      </w:r>
    </w:p>
    <w:tbl>
      <w:tblPr>
        <w:tblStyle w:val="76"/>
        <w:tblW w:w="900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3"/>
        <w:gridCol w:w="2813"/>
        <w:gridCol w:w="825"/>
        <w:gridCol w:w="2047"/>
        <w:gridCol w:w="25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813"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9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型号</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firstLine="420"/>
              <w:rPr>
                <w:rFonts w:hint="eastAsia" w:ascii="宋体" w:hAnsi="宋体" w:eastAsia="宋体" w:cs="宋体"/>
                <w:sz w:val="21"/>
                <w:szCs w:val="21"/>
              </w:rPr>
            </w:pP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生产厂家</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firstLine="420"/>
              <w:rPr>
                <w:rFonts w:hint="eastAsia" w:ascii="宋体" w:hAnsi="宋体" w:eastAsia="宋体" w:cs="宋体"/>
                <w:sz w:val="21"/>
                <w:szCs w:val="21"/>
              </w:rPr>
            </w:pP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额定电压</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17</w:t>
            </w: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持续运行电压</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13.6</w:t>
            </w: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5</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标称放电电流</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5</w:t>
            </w: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6</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雷电冲击残压</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eastAsia="宋体" w:cs="宋体"/>
              </w:rPr>
              <w:t>≤</w:t>
            </w:r>
            <w:r>
              <w:rPr>
                <w:rFonts w:hint="eastAsia" w:ascii="宋体" w:hAnsi="宋体" w:cs="宋体"/>
                <w:lang w:val="en-US" w:eastAsia="zh-CN"/>
              </w:rPr>
              <w:t>45</w:t>
            </w: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7</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陡波冲击残压</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eastAsia="宋体" w:cs="宋体"/>
              </w:rPr>
              <w:t>≤</w:t>
            </w:r>
            <w:r>
              <w:rPr>
                <w:rFonts w:hint="eastAsia" w:ascii="宋体" w:hAnsi="宋体" w:cs="宋体"/>
                <w:lang w:val="en-US" w:eastAsia="zh-CN"/>
              </w:rPr>
              <w:t>51.8</w:t>
            </w: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8</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操作冲击残压</w:t>
            </w:r>
          </w:p>
        </w:tc>
        <w:tc>
          <w:tcPr>
            <w:tcW w:w="82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eastAsia="宋体" w:cs="宋体"/>
              </w:rPr>
              <w:t>≤</w:t>
            </w:r>
            <w:r>
              <w:rPr>
                <w:rFonts w:hint="eastAsia" w:ascii="宋体" w:hAnsi="宋体" w:cs="宋体"/>
                <w:lang w:val="en-US" w:eastAsia="zh-CN"/>
              </w:rPr>
              <w:t>38.3</w:t>
            </w: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9</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直流1mA下参考电压</w:t>
            </w:r>
          </w:p>
        </w:tc>
        <w:tc>
          <w:tcPr>
            <w:tcW w:w="82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≥24</w:t>
            </w: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10</w:t>
            </w:r>
          </w:p>
        </w:tc>
        <w:tc>
          <w:tcPr>
            <w:tcW w:w="281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2ms方波耐受值</w:t>
            </w:r>
          </w:p>
        </w:tc>
        <w:tc>
          <w:tcPr>
            <w:tcW w:w="825"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2</w:t>
            </w:r>
            <w:r>
              <w:rPr>
                <w:rFonts w:hint="eastAsia" w:ascii="宋体" w:hAnsi="宋体" w:eastAsia="宋体" w:cs="宋体"/>
              </w:rPr>
              <w:t>00</w:t>
            </w:r>
          </w:p>
        </w:tc>
        <w:tc>
          <w:tcPr>
            <w:tcW w:w="2595"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lang w:eastAsia="zh-CN"/>
        </w:rPr>
      </w:pPr>
      <w:r>
        <w:rPr>
          <w:rFonts w:hint="eastAsia" w:ascii="宋体" w:hAnsi="宋体" w:eastAsia="宋体" w:cs="宋体"/>
          <w:kern w:val="28"/>
          <w:sz w:val="24"/>
          <w:szCs w:val="24"/>
        </w:rPr>
        <w:t xml:space="preserve">表2.3-4  </w:t>
      </w:r>
      <w:r>
        <w:rPr>
          <w:rFonts w:hint="eastAsia" w:ascii="宋体" w:hAnsi="宋体" w:cs="宋体"/>
          <w:kern w:val="28"/>
          <w:sz w:val="24"/>
          <w:szCs w:val="24"/>
          <w:lang w:val="en-US" w:eastAsia="zh-CN"/>
        </w:rPr>
        <w:t>10</w:t>
      </w:r>
      <w:r>
        <w:rPr>
          <w:rFonts w:hint="eastAsia" w:ascii="宋体" w:hAnsi="宋体" w:eastAsia="宋体" w:cs="宋体"/>
          <w:kern w:val="28"/>
          <w:sz w:val="24"/>
          <w:szCs w:val="24"/>
        </w:rPr>
        <w:t>kV套管技术参数表</w:t>
      </w:r>
      <w:r>
        <w:rPr>
          <w:rFonts w:hint="eastAsia" w:ascii="宋体" w:hAnsi="宋体" w:cs="宋体"/>
          <w:kern w:val="28"/>
          <w:sz w:val="24"/>
          <w:szCs w:val="24"/>
          <w:lang w:eastAsia="zh-CN"/>
        </w:rPr>
        <w:t>（</w:t>
      </w:r>
      <w:r>
        <w:rPr>
          <w:rFonts w:hint="eastAsia" w:ascii="宋体" w:hAnsi="宋体" w:cs="宋体"/>
          <w:kern w:val="28"/>
          <w:sz w:val="24"/>
          <w:szCs w:val="24"/>
          <w:lang w:val="en-US" w:eastAsia="zh-CN"/>
        </w:rPr>
        <w:t>若有</w:t>
      </w:r>
      <w:r>
        <w:rPr>
          <w:rFonts w:hint="eastAsia" w:ascii="宋体" w:hAnsi="宋体" w:cs="宋体"/>
          <w:kern w:val="28"/>
          <w:sz w:val="24"/>
          <w:szCs w:val="24"/>
          <w:lang w:eastAsia="zh-CN"/>
        </w:rPr>
        <w:t>）</w:t>
      </w:r>
    </w:p>
    <w:tbl>
      <w:tblPr>
        <w:tblStyle w:val="76"/>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983"/>
        <w:gridCol w:w="875"/>
        <w:gridCol w:w="2187"/>
        <w:gridCol w:w="21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1657" w:type="pct"/>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48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1215"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1215"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1657" w:type="pct"/>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型号</w:t>
            </w:r>
          </w:p>
        </w:tc>
        <w:tc>
          <w:tcPr>
            <w:tcW w:w="48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1215" w:type="pct"/>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firstLine="420"/>
              <w:rPr>
                <w:rFonts w:hint="eastAsia" w:ascii="宋体" w:hAnsi="宋体" w:eastAsia="宋体" w:cs="宋体"/>
                <w:sz w:val="21"/>
                <w:szCs w:val="21"/>
              </w:rPr>
            </w:pPr>
          </w:p>
        </w:tc>
        <w:tc>
          <w:tcPr>
            <w:tcW w:w="1215" w:type="pct"/>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firstLine="0"/>
              <w:rPr>
                <w:rFonts w:hint="eastAsia" w:ascii="宋体" w:hAnsi="宋体" w:eastAsia="宋体" w:cs="宋体"/>
                <w:sz w:val="21"/>
                <w:szCs w:val="21"/>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1657" w:type="pct"/>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额定电压</w:t>
            </w:r>
          </w:p>
        </w:tc>
        <w:tc>
          <w:tcPr>
            <w:tcW w:w="48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1215" w:type="pct"/>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10</w:t>
            </w:r>
          </w:p>
        </w:tc>
        <w:tc>
          <w:tcPr>
            <w:tcW w:w="1215"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1657" w:type="pct"/>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工频耐压</w:t>
            </w:r>
          </w:p>
        </w:tc>
        <w:tc>
          <w:tcPr>
            <w:tcW w:w="48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1215" w:type="pct"/>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42</w:t>
            </w:r>
          </w:p>
        </w:tc>
        <w:tc>
          <w:tcPr>
            <w:tcW w:w="1215"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1657" w:type="pct"/>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雷电冲击电压</w:t>
            </w:r>
          </w:p>
        </w:tc>
        <w:tc>
          <w:tcPr>
            <w:tcW w:w="48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1215" w:type="pct"/>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75</w:t>
            </w:r>
          </w:p>
        </w:tc>
        <w:tc>
          <w:tcPr>
            <w:tcW w:w="1215"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5</w:t>
            </w:r>
          </w:p>
        </w:tc>
        <w:tc>
          <w:tcPr>
            <w:tcW w:w="1657" w:type="pct"/>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截波冲击电压</w:t>
            </w:r>
          </w:p>
        </w:tc>
        <w:tc>
          <w:tcPr>
            <w:tcW w:w="48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1215" w:type="pct"/>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82.5</w:t>
            </w:r>
          </w:p>
        </w:tc>
        <w:tc>
          <w:tcPr>
            <w:tcW w:w="1215"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6</w:t>
            </w:r>
          </w:p>
        </w:tc>
        <w:tc>
          <w:tcPr>
            <w:tcW w:w="1657" w:type="pct"/>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局部放电</w:t>
            </w:r>
          </w:p>
        </w:tc>
        <w:tc>
          <w:tcPr>
            <w:tcW w:w="48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Pc</w:t>
            </w:r>
          </w:p>
        </w:tc>
        <w:tc>
          <w:tcPr>
            <w:tcW w:w="1215"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小于10</w:t>
            </w:r>
          </w:p>
        </w:tc>
        <w:tc>
          <w:tcPr>
            <w:tcW w:w="1215"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7</w:t>
            </w:r>
          </w:p>
        </w:tc>
        <w:tc>
          <w:tcPr>
            <w:tcW w:w="1657" w:type="pct"/>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动稳定</w:t>
            </w:r>
          </w:p>
        </w:tc>
        <w:tc>
          <w:tcPr>
            <w:tcW w:w="486" w:type="pct"/>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kA</w:t>
            </w:r>
          </w:p>
        </w:tc>
        <w:tc>
          <w:tcPr>
            <w:tcW w:w="1215" w:type="pct"/>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63</w:t>
            </w:r>
          </w:p>
        </w:tc>
        <w:tc>
          <w:tcPr>
            <w:tcW w:w="1215"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 xml:space="preserve">表2.3-5 </w:t>
      </w:r>
      <w:r>
        <w:rPr>
          <w:rFonts w:hint="eastAsia" w:ascii="宋体" w:hAnsi="宋体" w:cs="宋体"/>
          <w:kern w:val="28"/>
          <w:sz w:val="24"/>
          <w:szCs w:val="24"/>
          <w:lang w:val="en-US" w:eastAsia="zh-CN"/>
        </w:rPr>
        <w:t>10</w:t>
      </w:r>
      <w:r>
        <w:rPr>
          <w:rFonts w:hint="eastAsia" w:ascii="宋体" w:hAnsi="宋体" w:eastAsia="宋体" w:cs="宋体"/>
          <w:kern w:val="28"/>
          <w:sz w:val="24"/>
          <w:szCs w:val="24"/>
        </w:rPr>
        <w:t>kV电流就地带电显示器技术参数表</w:t>
      </w:r>
    </w:p>
    <w:tbl>
      <w:tblPr>
        <w:tblStyle w:val="76"/>
        <w:tblW w:w="899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6"/>
        <w:gridCol w:w="2793"/>
        <w:gridCol w:w="819"/>
        <w:gridCol w:w="2467"/>
        <w:gridCol w:w="21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93"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46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14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型号</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46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firstLine="420"/>
              <w:rPr>
                <w:rFonts w:hint="eastAsia" w:ascii="宋体" w:hAnsi="宋体" w:eastAsia="宋体" w:cs="宋体"/>
                <w:sz w:val="21"/>
                <w:szCs w:val="21"/>
              </w:rPr>
            </w:pPr>
          </w:p>
        </w:tc>
        <w:tc>
          <w:tcPr>
            <w:tcW w:w="214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46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10</w:t>
            </w:r>
          </w:p>
        </w:tc>
        <w:tc>
          <w:tcPr>
            <w:tcW w:w="214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工作方式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46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感应</w:t>
            </w:r>
          </w:p>
        </w:tc>
        <w:tc>
          <w:tcPr>
            <w:tcW w:w="214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6"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显示电压范围</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46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14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bookmarkStart w:id="274" w:name="_Toc520986950"/>
      <w:r>
        <w:rPr>
          <w:rFonts w:hint="eastAsia" w:ascii="宋体" w:hAnsi="宋体" w:eastAsia="宋体" w:cs="宋体"/>
          <w:kern w:val="28"/>
          <w:sz w:val="24"/>
          <w:szCs w:val="24"/>
        </w:rPr>
        <w:t>表2.3-6</w:t>
      </w:r>
      <w:r>
        <w:rPr>
          <w:rFonts w:hint="eastAsia" w:ascii="宋体" w:hAnsi="宋体" w:cs="宋体"/>
          <w:kern w:val="28"/>
          <w:sz w:val="24"/>
          <w:szCs w:val="24"/>
          <w:lang w:val="en-US" w:eastAsia="zh-CN"/>
        </w:rPr>
        <w:t xml:space="preserve">  </w:t>
      </w:r>
      <w:r>
        <w:rPr>
          <w:rFonts w:hint="eastAsia" w:ascii="宋体" w:hAnsi="宋体" w:eastAsia="宋体" w:cs="宋体"/>
          <w:kern w:val="28"/>
          <w:sz w:val="24"/>
          <w:szCs w:val="24"/>
          <w:lang w:val="en-US" w:eastAsia="zh-CN"/>
        </w:rPr>
        <w:t>10</w:t>
      </w:r>
      <w:r>
        <w:rPr>
          <w:rFonts w:hint="eastAsia" w:ascii="宋体" w:hAnsi="宋体" w:eastAsia="宋体" w:cs="宋体"/>
          <w:kern w:val="28"/>
          <w:sz w:val="24"/>
          <w:szCs w:val="24"/>
        </w:rPr>
        <w:t>kV隔离开关技术参数表</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93"/>
        <w:gridCol w:w="819"/>
        <w:gridCol w:w="2047"/>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93"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型号</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firstLine="420"/>
              <w:rPr>
                <w:rFonts w:hint="eastAsia" w:ascii="宋体" w:hAnsi="宋体" w:eastAsia="宋体" w:cs="宋体"/>
                <w:sz w:val="21"/>
                <w:szCs w:val="21"/>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10</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额定电流</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630</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表2.3-7</w:t>
      </w:r>
      <w:r>
        <w:rPr>
          <w:rFonts w:hint="eastAsia" w:ascii="宋体" w:hAnsi="宋体" w:cs="宋体"/>
          <w:kern w:val="28"/>
          <w:sz w:val="24"/>
          <w:szCs w:val="24"/>
          <w:lang w:val="en-US" w:eastAsia="zh-CN"/>
        </w:rPr>
        <w:t xml:space="preserve">  </w:t>
      </w:r>
      <w:r>
        <w:rPr>
          <w:rFonts w:hint="eastAsia" w:ascii="宋体" w:hAnsi="宋体" w:eastAsia="宋体" w:cs="宋体"/>
          <w:kern w:val="28"/>
          <w:sz w:val="24"/>
          <w:szCs w:val="24"/>
          <w:lang w:val="en-US" w:eastAsia="zh-CN"/>
        </w:rPr>
        <w:t>10</w:t>
      </w:r>
      <w:r>
        <w:rPr>
          <w:rFonts w:hint="eastAsia" w:ascii="宋体" w:hAnsi="宋体" w:eastAsia="宋体" w:cs="宋体"/>
          <w:kern w:val="28"/>
          <w:sz w:val="24"/>
          <w:szCs w:val="24"/>
        </w:rPr>
        <w:t>kV接地开关技术参数表</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93"/>
        <w:gridCol w:w="819"/>
        <w:gridCol w:w="2047"/>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93"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型号</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firstLine="420"/>
              <w:rPr>
                <w:rFonts w:hint="eastAsia" w:ascii="宋体" w:hAnsi="宋体" w:eastAsia="宋体" w:cs="宋体"/>
                <w:sz w:val="21"/>
                <w:szCs w:val="21"/>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lang w:val="en-US" w:eastAsia="zh-CN"/>
              </w:rPr>
            </w:pPr>
            <w:r>
              <w:rPr>
                <w:rFonts w:hint="eastAsia" w:ascii="宋体" w:hAnsi="宋体" w:cs="宋体"/>
                <w:lang w:val="en-US" w:eastAsia="zh-CN"/>
              </w:rPr>
              <w:t>10</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75" w:name="_Toc26018"/>
      <w:r>
        <w:rPr>
          <w:rFonts w:hint="eastAsia" w:ascii="宋体" w:hAnsi="宋体" w:eastAsia="宋体" w:cs="宋体"/>
          <w:b w:val="0"/>
          <w:bCs/>
          <w:sz w:val="28"/>
          <w:szCs w:val="28"/>
        </w:rPr>
        <w:t>2.4 低压侧技术参数表</w:t>
      </w:r>
      <w:bookmarkEnd w:id="274"/>
      <w:bookmarkEnd w:id="275"/>
    </w:p>
    <w:p>
      <w:pPr>
        <w:snapToGrid w:val="0"/>
        <w:spacing w:line="360" w:lineRule="auto"/>
        <w:jc w:val="center"/>
        <w:rPr>
          <w:rFonts w:hint="eastAsia" w:ascii="宋体" w:hAnsi="宋体" w:eastAsia="宋体" w:cs="宋体"/>
          <w:kern w:val="28"/>
          <w:sz w:val="24"/>
          <w:szCs w:val="24"/>
        </w:rPr>
      </w:pPr>
      <w:r>
        <w:rPr>
          <w:rFonts w:hint="eastAsia" w:ascii="宋体" w:hAnsi="宋体" w:eastAsia="宋体" w:cs="宋体"/>
          <w:kern w:val="28"/>
          <w:sz w:val="24"/>
          <w:szCs w:val="24"/>
        </w:rPr>
        <w:t>表2.4-1  低压框架断路器技术参数表</w:t>
      </w:r>
    </w:p>
    <w:tbl>
      <w:tblPr>
        <w:tblStyle w:val="7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4"/>
        <w:gridCol w:w="2801"/>
        <w:gridCol w:w="830"/>
        <w:gridCol w:w="2070"/>
        <w:gridCol w:w="25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highlight w:val="none"/>
                <w:u w:val="none"/>
              </w:rPr>
            </w:pPr>
            <w:r>
              <w:rPr>
                <w:rStyle w:val="370"/>
                <w:rFonts w:hint="eastAsia" w:ascii="宋体" w:hAnsi="宋体" w:eastAsia="宋体" w:cs="宋体"/>
                <w:highlight w:val="none"/>
                <w:lang w:val="en-US" w:eastAsia="zh-CN" w:bidi="ar"/>
              </w:rPr>
              <w:t>序号</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highlight w:val="none"/>
                <w:u w:val="none"/>
              </w:rPr>
            </w:pPr>
            <w:r>
              <w:rPr>
                <w:rStyle w:val="370"/>
                <w:rFonts w:hint="eastAsia" w:ascii="宋体" w:hAnsi="宋体" w:eastAsia="宋体" w:cs="宋体"/>
                <w:highlight w:val="none"/>
                <w:lang w:val="en-US" w:eastAsia="zh-CN" w:bidi="ar"/>
              </w:rPr>
              <w:t>名称</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highlight w:val="none"/>
                <w:u w:val="none"/>
              </w:rPr>
            </w:pPr>
            <w:r>
              <w:rPr>
                <w:rStyle w:val="370"/>
                <w:rFonts w:hint="eastAsia" w:ascii="宋体" w:hAnsi="宋体" w:eastAsia="宋体" w:cs="宋体"/>
                <w:highlight w:val="none"/>
                <w:lang w:val="en-US" w:eastAsia="zh-CN" w:bidi="ar"/>
              </w:rPr>
              <w:t>单位</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highlight w:val="none"/>
                <w:u w:val="none"/>
              </w:rPr>
            </w:pPr>
            <w:r>
              <w:rPr>
                <w:rStyle w:val="370"/>
                <w:rFonts w:hint="eastAsia" w:ascii="宋体" w:hAnsi="宋体" w:eastAsia="宋体" w:cs="宋体"/>
                <w:highlight w:val="none"/>
                <w:lang w:val="en-US" w:eastAsia="zh-CN" w:bidi="ar"/>
              </w:rPr>
              <w:t>标准参数值</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1"/>
                <w:szCs w:val="21"/>
                <w:highlight w:val="none"/>
                <w:u w:val="none"/>
              </w:rPr>
            </w:pPr>
            <w:r>
              <w:rPr>
                <w:rStyle w:val="370"/>
                <w:rFonts w:hint="eastAsia" w:ascii="宋体" w:hAnsi="宋体" w:eastAsia="宋体" w:cs="宋体"/>
                <w:highlight w:val="none"/>
                <w:lang w:val="en-US" w:eastAsia="zh-CN" w:bidi="ar"/>
              </w:rPr>
              <w:t>卖方保证值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型号</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有智能保护的框架式断路器（耐低温型）有通信接口</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生产厂家</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额定电流</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A</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cs="宋体"/>
                <w:i w:val="0"/>
                <w:iCs w:val="0"/>
                <w:color w:val="000000"/>
                <w:kern w:val="0"/>
                <w:sz w:val="21"/>
                <w:szCs w:val="21"/>
                <w:highlight w:val="none"/>
                <w:u w:val="none"/>
                <w:lang w:val="en-US" w:eastAsia="zh-CN" w:bidi="ar"/>
              </w:rPr>
              <w:t>2500/2500/</w:t>
            </w:r>
            <w:r>
              <w:rPr>
                <w:rFonts w:hint="eastAsia" w:ascii="宋体" w:hAnsi="宋体" w:eastAsia="宋体" w:cs="宋体"/>
                <w:i w:val="0"/>
                <w:iCs w:val="0"/>
                <w:color w:val="000000"/>
                <w:kern w:val="0"/>
                <w:sz w:val="21"/>
                <w:szCs w:val="21"/>
                <w:highlight w:val="none"/>
                <w:u w:val="none"/>
                <w:lang w:val="en-US" w:eastAsia="zh-CN" w:bidi="ar"/>
              </w:rPr>
              <w:t>3200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额定工作电压</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V</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800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额定绝缘电压</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V</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lang w:val="en-US"/>
              </w:rPr>
            </w:pPr>
            <w:r>
              <w:rPr>
                <w:rFonts w:hint="eastAsia" w:ascii="宋体" w:hAnsi="宋体" w:eastAsia="宋体" w:cs="宋体"/>
                <w:color w:val="000000"/>
                <w:kern w:val="2"/>
                <w:sz w:val="21"/>
                <w:szCs w:val="21"/>
                <w:highlight w:val="none"/>
                <w:lang w:val="en-US" w:eastAsia="zh-CN" w:bidi="ar"/>
              </w:rPr>
              <w:t>≥</w:t>
            </w:r>
            <w:r>
              <w:rPr>
                <w:rFonts w:hint="eastAsia" w:ascii="宋体" w:hAnsi="宋体" w:eastAsia="宋体" w:cs="宋体"/>
                <w:i w:val="0"/>
                <w:iCs w:val="0"/>
                <w:color w:val="000000"/>
                <w:kern w:val="0"/>
                <w:sz w:val="21"/>
                <w:szCs w:val="21"/>
                <w:highlight w:val="none"/>
                <w:u w:val="none"/>
                <w:lang w:val="en-US" w:eastAsia="zh-CN" w:bidi="ar"/>
              </w:rPr>
              <w:t>1250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极数</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3级</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highlight w:val="none"/>
                <w:u w:val="none"/>
                <w:lang w:val="en-US"/>
              </w:rPr>
            </w:pPr>
            <w:r>
              <w:rPr>
                <w:rStyle w:val="371"/>
                <w:rFonts w:hint="eastAsia" w:ascii="宋体" w:hAnsi="宋体" w:eastAsia="宋体" w:cs="宋体"/>
                <w:highlight w:val="none"/>
                <w:lang w:val="en-US" w:eastAsia="zh-CN" w:bidi="ar"/>
              </w:rPr>
              <w:t>额定冲击耐受电压</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V</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2"/>
                <w:sz w:val="21"/>
                <w:szCs w:val="21"/>
                <w:highlight w:val="none"/>
                <w:lang w:val="en-US" w:eastAsia="zh-CN" w:bidi="ar"/>
              </w:rPr>
              <w:t>≥</w:t>
            </w:r>
            <w:r>
              <w:rPr>
                <w:rFonts w:hint="eastAsia" w:ascii="宋体" w:hAnsi="宋体" w:eastAsia="宋体" w:cs="宋体"/>
                <w:i w:val="0"/>
                <w:iCs w:val="0"/>
                <w:color w:val="000000"/>
                <w:sz w:val="21"/>
                <w:szCs w:val="21"/>
                <w:highlight w:val="none"/>
                <w:u w:val="none"/>
                <w:lang w:val="en-US" w:eastAsia="zh-CN"/>
              </w:rPr>
              <w:t>12000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1min工频耐受电压（有效值）</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V</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2"/>
                <w:sz w:val="21"/>
                <w:szCs w:val="21"/>
                <w:highlight w:val="none"/>
                <w:lang w:val="en-US" w:eastAsia="zh-CN" w:bidi="ar"/>
              </w:rPr>
              <w:t>≥</w:t>
            </w:r>
            <w:r>
              <w:rPr>
                <w:rFonts w:hint="eastAsia" w:ascii="宋体" w:hAnsi="宋体" w:eastAsia="宋体" w:cs="宋体"/>
                <w:i w:val="0"/>
                <w:iCs w:val="0"/>
                <w:color w:val="000000"/>
                <w:kern w:val="0"/>
                <w:sz w:val="21"/>
                <w:szCs w:val="21"/>
                <w:highlight w:val="none"/>
                <w:u w:val="none"/>
                <w:lang w:val="en-US" w:eastAsia="zh-CN" w:bidi="ar"/>
              </w:rPr>
              <w:t>3500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控制和辅助回路工频耐受电压（有效值）</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V</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2000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额定短时耐受电流/耐受时间(有效值)</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kA/s</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cs="宋体"/>
                <w:highlight w:val="none"/>
                <w:lang w:val="en-US" w:eastAsia="zh-CN" w:bidi="ar"/>
              </w:rPr>
              <w:t>65</w:t>
            </w:r>
            <w:r>
              <w:rPr>
                <w:rStyle w:val="371"/>
                <w:rFonts w:hint="eastAsia" w:ascii="宋体" w:hAnsi="宋体" w:eastAsia="宋体" w:cs="宋体"/>
                <w:highlight w:val="none"/>
                <w:lang w:val="en-US" w:eastAsia="zh-CN" w:bidi="ar"/>
              </w:rPr>
              <w:t>/1s</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11</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额定运行短路分断能力(有效值)</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kA</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cs="宋体"/>
                <w:i w:val="0"/>
                <w:iCs w:val="0"/>
                <w:color w:val="000000"/>
                <w:kern w:val="0"/>
                <w:sz w:val="21"/>
                <w:szCs w:val="21"/>
                <w:highlight w:val="none"/>
                <w:u w:val="none"/>
                <w:lang w:val="en-US" w:eastAsia="zh-CN" w:bidi="ar"/>
              </w:rPr>
              <w:t>65</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12</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额定极限短路分断能力(有效值)</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kA</w:t>
            </w: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cs="宋体"/>
                <w:i w:val="0"/>
                <w:iCs w:val="0"/>
                <w:color w:val="000000"/>
                <w:kern w:val="0"/>
                <w:sz w:val="21"/>
                <w:szCs w:val="21"/>
                <w:highlight w:val="none"/>
                <w:u w:val="none"/>
                <w:lang w:val="en-US" w:eastAsia="zh-CN" w:bidi="ar"/>
              </w:rPr>
              <w:t>65</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13</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分闸时间</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ms</w:t>
            </w:r>
          </w:p>
        </w:tc>
        <w:tc>
          <w:tcPr>
            <w:tcW w:w="20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adjustRightInd w:val="0"/>
              <w:spacing w:before="0" w:beforeAutospacing="0" w:after="0" w:afterAutospacing="0" w:line="312" w:lineRule="atLeast"/>
              <w:ind w:left="0" w:leftChars="0" w:right="0" w:rightChars="0"/>
              <w:jc w:val="center"/>
              <w:textAlignment w:val="baseline"/>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2"/>
                <w:sz w:val="21"/>
                <w:szCs w:val="21"/>
                <w:highlight w:val="none"/>
                <w:lang w:val="en-US" w:eastAsia="zh-CN" w:bidi="ar"/>
              </w:rPr>
              <w:t>≤25</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14</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合闸时间</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ms</w:t>
            </w:r>
          </w:p>
        </w:tc>
        <w:tc>
          <w:tcPr>
            <w:tcW w:w="20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adjustRightInd w:val="0"/>
              <w:spacing w:before="0" w:beforeAutospacing="0" w:after="0" w:afterAutospacing="0" w:line="312" w:lineRule="atLeast"/>
              <w:ind w:left="0" w:leftChars="0" w:right="0" w:rightChars="0"/>
              <w:jc w:val="center"/>
              <w:textAlignment w:val="baseline"/>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2"/>
                <w:sz w:val="21"/>
                <w:szCs w:val="21"/>
                <w:highlight w:val="none"/>
                <w:lang w:val="en-US" w:eastAsia="zh-CN" w:bidi="ar"/>
              </w:rPr>
              <w:t>≤70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15</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机械寿命</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次</w:t>
            </w:r>
          </w:p>
        </w:tc>
        <w:tc>
          <w:tcPr>
            <w:tcW w:w="20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adjustRightInd w:val="0"/>
              <w:spacing w:before="0" w:beforeAutospacing="0" w:after="0" w:afterAutospacing="0" w:line="312" w:lineRule="atLeast"/>
              <w:ind w:left="0" w:leftChars="0" w:right="0" w:rightChars="0"/>
              <w:jc w:val="center"/>
              <w:textAlignment w:val="baseline"/>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2"/>
                <w:sz w:val="21"/>
                <w:szCs w:val="21"/>
                <w:highlight w:val="none"/>
                <w:lang w:val="en-US" w:eastAsia="zh-CN" w:bidi="ar"/>
              </w:rPr>
              <w:t>≥10000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电气寿命</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次</w:t>
            </w:r>
          </w:p>
        </w:tc>
        <w:tc>
          <w:tcPr>
            <w:tcW w:w="20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adjustRightInd w:val="0"/>
              <w:spacing w:before="0" w:beforeAutospacing="0" w:after="0" w:afterAutospacing="0" w:line="312" w:lineRule="atLeast"/>
              <w:ind w:left="0" w:leftChars="0" w:right="0" w:rightChars="0"/>
              <w:jc w:val="center"/>
              <w:textAlignment w:val="baseline"/>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2"/>
                <w:sz w:val="21"/>
                <w:szCs w:val="21"/>
                <w:highlight w:val="none"/>
                <w:lang w:val="en-US" w:eastAsia="zh-CN" w:bidi="ar"/>
              </w:rPr>
              <w:t>≥2500</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17</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智能脱扣器选型</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低压安装方式</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固定式</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19</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操动方式</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手动和电动</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41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20</w:t>
            </w:r>
          </w:p>
        </w:tc>
        <w:tc>
          <w:tcPr>
            <w:tcW w:w="15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保护功能</w:t>
            </w:r>
          </w:p>
        </w:tc>
        <w:tc>
          <w:tcPr>
            <w:tcW w:w="46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1"/>
                <w:szCs w:val="21"/>
                <w:highlight w:val="none"/>
                <w:u w:val="none"/>
              </w:rPr>
            </w:pPr>
          </w:p>
        </w:tc>
        <w:tc>
          <w:tcPr>
            <w:tcW w:w="115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三段式电流保护、接地保护等</w:t>
            </w:r>
          </w:p>
        </w:tc>
        <w:tc>
          <w:tcPr>
            <w:tcW w:w="141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1"/>
                <w:szCs w:val="21"/>
                <w:highlight w:val="none"/>
                <w:u w:val="none"/>
              </w:rPr>
            </w:pPr>
            <w:r>
              <w:rPr>
                <w:rStyle w:val="371"/>
                <w:rFonts w:hint="eastAsia" w:ascii="宋体" w:hAnsi="宋体" w:eastAsia="宋体" w:cs="宋体"/>
                <w:highlight w:val="none"/>
                <w:lang w:val="en-US" w:eastAsia="zh-CN" w:bidi="ar"/>
              </w:rPr>
              <w:t>（投标人提供）</w:t>
            </w:r>
          </w:p>
        </w:tc>
      </w:tr>
    </w:tbl>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360" w:lineRule="auto"/>
        <w:ind w:left="0" w:right="0" w:firstLine="482" w:firstLineChars="200"/>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智能抽屉式框架低压断路器采用产品性能不低于辉能电气、常熟电器、江苏大全凯帆或等同国内一线品牌产品。</w:t>
      </w:r>
    </w:p>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 xml:space="preserve">表2.4-2   </w:t>
      </w:r>
      <w:r>
        <w:rPr>
          <w:rFonts w:hint="eastAsia" w:ascii="宋体" w:hAnsi="宋体" w:eastAsia="宋体" w:cs="宋体"/>
          <w:kern w:val="28"/>
          <w:sz w:val="24"/>
          <w:szCs w:val="24"/>
          <w:lang w:val="en-US" w:eastAsia="zh-CN"/>
        </w:rPr>
        <w:t>塑壳</w:t>
      </w:r>
      <w:r>
        <w:rPr>
          <w:rFonts w:hint="eastAsia" w:ascii="宋体" w:hAnsi="宋体" w:eastAsia="宋体" w:cs="宋体"/>
          <w:kern w:val="28"/>
          <w:sz w:val="24"/>
          <w:szCs w:val="24"/>
        </w:rPr>
        <w:t>断路器技术参数表</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93"/>
        <w:gridCol w:w="819"/>
        <w:gridCol w:w="2047"/>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93"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结构形式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生产厂家</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topLinePunct w:val="0"/>
              <w:spacing w:before="0" w:beforeAutospacing="0" w:after="0" w:afterAutospacing="0" w:line="360" w:lineRule="auto"/>
              <w:ind w:left="0" w:right="0"/>
              <w:rPr>
                <w:rFonts w:hint="eastAsia" w:ascii="宋体" w:hAnsi="宋体" w:eastAsia="宋体" w:cs="宋体"/>
              </w:rPr>
            </w:pP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额定电流</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A</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315</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额定工作电压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V</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rPr>
              <w:t>00</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5</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额定绝缘电压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V</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color w:val="000000"/>
                <w:kern w:val="2"/>
                <w:sz w:val="21"/>
                <w:szCs w:val="21"/>
                <w:lang w:val="en-US" w:eastAsia="zh-CN" w:bidi="ar"/>
              </w:rPr>
              <w:t>≥</w:t>
            </w:r>
            <w:r>
              <w:rPr>
                <w:rFonts w:hint="eastAsia" w:ascii="宋体" w:hAnsi="宋体" w:eastAsia="宋体" w:cs="宋体"/>
                <w:lang w:val="en-US" w:eastAsia="zh-CN"/>
              </w:rPr>
              <w:t>1000</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6</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极数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3级</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w:t>
            </w:r>
          </w:p>
        </w:tc>
        <w:tc>
          <w:tcPr>
            <w:tcW w:w="2793" w:type="dxa"/>
            <w:vAlign w:val="center"/>
          </w:tcPr>
          <w:p>
            <w:pPr>
              <w:keepNext w:val="0"/>
              <w:keepLines w:val="0"/>
              <w:widowControl/>
              <w:suppressLineNumbers w:val="0"/>
              <w:spacing w:before="0" w:beforeAutospacing="0" w:after="0" w:afterAutospacing="0"/>
              <w:ind w:left="0" w:leftChars="0" w:right="0" w:rightChars="0"/>
              <w:jc w:val="both"/>
              <w:textAlignment w:val="center"/>
              <w:rPr>
                <w:rFonts w:hint="eastAsia" w:ascii="宋体" w:hAnsi="宋体" w:eastAsia="宋体" w:cs="宋体"/>
                <w:i w:val="0"/>
                <w:iCs w:val="0"/>
                <w:color w:val="000000"/>
                <w:kern w:val="2"/>
                <w:sz w:val="21"/>
                <w:szCs w:val="21"/>
                <w:u w:val="none"/>
                <w:lang w:val="en-US" w:eastAsia="zh-CN" w:bidi="ar-SA"/>
              </w:rPr>
            </w:pPr>
            <w:r>
              <w:rPr>
                <w:rStyle w:val="371"/>
                <w:rFonts w:hint="eastAsia" w:ascii="宋体" w:hAnsi="宋体" w:eastAsia="宋体" w:cs="宋体"/>
                <w:lang w:val="en-US" w:eastAsia="zh-CN" w:bidi="ar"/>
              </w:rPr>
              <w:t>额定冲击耐受电压</w:t>
            </w:r>
          </w:p>
        </w:tc>
        <w:tc>
          <w:tcPr>
            <w:tcW w:w="819" w:type="dxa"/>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iCs w:val="0"/>
                <w:color w:val="000000"/>
                <w:kern w:val="2"/>
                <w:sz w:val="21"/>
                <w:szCs w:val="21"/>
                <w:u w:val="none"/>
                <w:lang w:val="en-US" w:eastAsia="zh-CN" w:bidi="ar-SA"/>
              </w:rPr>
            </w:pPr>
            <w:r>
              <w:rPr>
                <w:rStyle w:val="371"/>
                <w:rFonts w:hint="eastAsia" w:ascii="宋体" w:hAnsi="宋体" w:eastAsia="宋体" w:cs="宋体"/>
                <w:lang w:val="en-US" w:eastAsia="zh-CN" w:bidi="ar"/>
              </w:rPr>
              <w:t>V</w:t>
            </w:r>
          </w:p>
        </w:tc>
        <w:tc>
          <w:tcPr>
            <w:tcW w:w="2047" w:type="dxa"/>
            <w:vAlign w:val="center"/>
          </w:tcPr>
          <w:p>
            <w:pPr>
              <w:keepNext w:val="0"/>
              <w:keepLines w:val="0"/>
              <w:suppressLineNumbers w:val="0"/>
              <w:spacing w:before="0" w:beforeAutospacing="0" w:after="0" w:afterAutospacing="0"/>
              <w:ind w:left="0" w:leftChars="0" w:right="0" w:rightChars="0"/>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color w:val="000000"/>
                <w:kern w:val="2"/>
                <w:sz w:val="21"/>
                <w:szCs w:val="21"/>
                <w:lang w:val="en-US" w:eastAsia="zh-CN" w:bidi="ar"/>
              </w:rPr>
              <w:t>≥</w:t>
            </w:r>
            <w:r>
              <w:rPr>
                <w:rFonts w:hint="eastAsia" w:ascii="宋体" w:hAnsi="宋体" w:eastAsia="宋体" w:cs="宋体"/>
                <w:i w:val="0"/>
                <w:iCs w:val="0"/>
                <w:color w:val="000000"/>
                <w:sz w:val="21"/>
                <w:szCs w:val="21"/>
                <w:u w:val="none"/>
                <w:lang w:val="en-US" w:eastAsia="zh-CN"/>
              </w:rPr>
              <w:t>8000</w:t>
            </w:r>
          </w:p>
        </w:tc>
        <w:tc>
          <w:tcPr>
            <w:tcW w:w="2563" w:type="dxa"/>
            <w:vAlign w:val="center"/>
          </w:tcPr>
          <w:p>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i w:val="0"/>
                <w:iCs w:val="0"/>
                <w:color w:val="000000"/>
                <w:kern w:val="2"/>
                <w:sz w:val="21"/>
                <w:szCs w:val="21"/>
                <w:u w:val="none"/>
                <w:lang w:val="en-US" w:eastAsia="zh-CN" w:bidi="ar-SA"/>
              </w:rPr>
            </w:pPr>
            <w:r>
              <w:rPr>
                <w:rStyle w:val="371"/>
                <w:rFonts w:hint="eastAsia" w:ascii="宋体" w:hAnsi="宋体" w:eastAsia="宋体" w:cs="宋体"/>
                <w:lang w:val="en-US" w:eastAsia="zh-CN" w:bidi="ar"/>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eastAsia="zh-CN"/>
              </w:rPr>
            </w:pPr>
            <w:r>
              <w:rPr>
                <w:rFonts w:hint="eastAsia" w:ascii="宋体" w:hAnsi="宋体" w:eastAsia="宋体" w:cs="宋体"/>
                <w:lang w:val="en-US" w:eastAsia="zh-CN"/>
              </w:rPr>
              <w:t>8</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额定极限短路分断电流(有效值)</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kA</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sz w:val="22"/>
                <w:szCs w:val="22"/>
                <w:lang w:val="en-US" w:eastAsia="zh-CN"/>
              </w:rPr>
            </w:pPr>
            <w:r>
              <w:rPr>
                <w:rFonts w:hint="eastAsia" w:ascii="宋体" w:hAnsi="宋体" w:eastAsia="宋体" w:cs="宋体"/>
                <w:color w:val="000000"/>
                <w:kern w:val="2"/>
                <w:sz w:val="21"/>
                <w:szCs w:val="21"/>
                <w:lang w:val="en-US" w:eastAsia="zh-CN" w:bidi="ar"/>
              </w:rPr>
              <w:t>≥30</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lang w:eastAsia="zh-CN"/>
              </w:rPr>
            </w:pPr>
            <w:r>
              <w:rPr>
                <w:rFonts w:hint="eastAsia" w:ascii="宋体" w:hAnsi="宋体" w:eastAsia="宋体" w:cs="宋体"/>
                <w:lang w:val="en-US" w:eastAsia="zh-CN"/>
              </w:rPr>
              <w:t>9</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额定运行短路分断电流(有效值)</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kA</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sz w:val="22"/>
                <w:szCs w:val="22"/>
                <w:lang w:val="en-US" w:eastAsia="zh-CN"/>
              </w:rPr>
            </w:pP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表2.4-3  电流电压互感器技术参数表（采用优质知名品牌）</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61"/>
        <w:gridCol w:w="32"/>
        <w:gridCol w:w="819"/>
        <w:gridCol w:w="2047"/>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61"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51" w:type="dxa"/>
            <w:gridSpan w:val="2"/>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b/>
              </w:rPr>
              <w:t>（一）</w:t>
            </w:r>
          </w:p>
        </w:tc>
        <w:tc>
          <w:tcPr>
            <w:tcW w:w="8222" w:type="dxa"/>
            <w:gridSpan w:val="5"/>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b/>
              </w:rPr>
              <w:t>低压侧电流互感器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生产厂家</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lang w:val="en-US" w:eastAsia="zh-CN"/>
              </w:rPr>
              <w:t>800</w:t>
            </w:r>
            <w:r>
              <w:rPr>
                <w:rFonts w:hint="eastAsia" w:ascii="宋体" w:hAnsi="宋体" w:eastAsia="宋体" w:cs="宋体"/>
              </w:rPr>
              <w:t>V</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额定电流</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cs="宋体"/>
                <w:i w:val="0"/>
                <w:iCs w:val="0"/>
                <w:color w:val="000000"/>
                <w:kern w:val="0"/>
                <w:sz w:val="21"/>
                <w:szCs w:val="21"/>
                <w:u w:val="none"/>
                <w:lang w:val="en-US" w:eastAsia="zh-CN" w:bidi="ar"/>
              </w:rPr>
              <w:t>2500/2500/</w:t>
            </w:r>
            <w:r>
              <w:rPr>
                <w:rFonts w:hint="eastAsia" w:ascii="宋体" w:hAnsi="宋体" w:eastAsia="宋体" w:cs="宋体"/>
                <w:i w:val="0"/>
                <w:iCs w:val="0"/>
                <w:color w:val="000000"/>
                <w:kern w:val="0"/>
                <w:sz w:val="21"/>
                <w:szCs w:val="21"/>
                <w:u w:val="none"/>
                <w:lang w:val="en-US" w:eastAsia="zh-CN" w:bidi="ar"/>
              </w:rPr>
              <w:t>3</w:t>
            </w:r>
            <w:r>
              <w:rPr>
                <w:rFonts w:hint="eastAsia" w:ascii="宋体" w:hAnsi="宋体" w:cs="宋体"/>
                <w:i w:val="0"/>
                <w:iCs w:val="0"/>
                <w:color w:val="000000"/>
                <w:kern w:val="0"/>
                <w:sz w:val="21"/>
                <w:szCs w:val="21"/>
                <w:u w:val="none"/>
                <w:lang w:val="en-US" w:eastAsia="zh-CN" w:bidi="ar"/>
              </w:rPr>
              <w:t>0</w:t>
            </w:r>
            <w:r>
              <w:rPr>
                <w:rFonts w:hint="eastAsia" w:ascii="宋体" w:hAnsi="宋体" w:eastAsia="宋体" w:cs="宋体"/>
                <w:i w:val="0"/>
                <w:iCs w:val="0"/>
                <w:color w:val="000000"/>
                <w:kern w:val="0"/>
                <w:sz w:val="21"/>
                <w:szCs w:val="21"/>
                <w:u w:val="none"/>
                <w:lang w:val="en-US" w:eastAsia="zh-CN" w:bidi="ar"/>
              </w:rPr>
              <w:t>00</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5</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二次侧额定电流</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eastAsia="zh-CN"/>
              </w:rPr>
            </w:pPr>
            <w:r>
              <w:rPr>
                <w:rFonts w:hint="eastAsia" w:ascii="宋体" w:hAnsi="宋体" w:cs="宋体"/>
                <w:lang w:val="en-US" w:eastAsia="zh-CN"/>
              </w:rPr>
              <w:t>5</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6</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保护及指示用CT准确级</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0.5</w:t>
            </w:r>
            <w:r>
              <w:rPr>
                <w:rFonts w:hint="eastAsia" w:ascii="宋体" w:hAnsi="宋体" w:eastAsia="宋体" w:cs="宋体"/>
              </w:rPr>
              <w:t>/0.2</w:t>
            </w:r>
            <w:r>
              <w:rPr>
                <w:rFonts w:hint="eastAsia" w:ascii="宋体" w:hAnsi="宋体" w:eastAsia="宋体" w:cs="宋体"/>
                <w:lang w:val="en-US" w:eastAsia="zh-CN"/>
              </w:rPr>
              <w:t>s</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7</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容量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VA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20</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表2.4-4</w:t>
      </w:r>
      <w:r>
        <w:rPr>
          <w:rFonts w:hint="eastAsia" w:ascii="宋体" w:hAnsi="宋体" w:eastAsia="宋体" w:cs="宋体"/>
          <w:kern w:val="28"/>
          <w:sz w:val="24"/>
          <w:szCs w:val="24"/>
        </w:rPr>
        <w:tab/>
      </w:r>
      <w:r>
        <w:rPr>
          <w:rFonts w:hint="eastAsia" w:ascii="宋体" w:hAnsi="宋体" w:eastAsia="宋体" w:cs="宋体"/>
          <w:kern w:val="28"/>
          <w:sz w:val="24"/>
          <w:szCs w:val="24"/>
        </w:rPr>
        <w:t>电流电压互感器技术参数表（采用优质知名品牌）</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61"/>
        <w:gridCol w:w="32"/>
        <w:gridCol w:w="819"/>
        <w:gridCol w:w="2047"/>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61"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51" w:type="dxa"/>
            <w:gridSpan w:val="2"/>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b/>
              </w:rPr>
              <w:t>（一）</w:t>
            </w:r>
          </w:p>
        </w:tc>
        <w:tc>
          <w:tcPr>
            <w:tcW w:w="8222" w:type="dxa"/>
            <w:gridSpan w:val="5"/>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b/>
              </w:rPr>
              <w:t>升压变中性点电流互感器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生产厂家</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lang w:val="en-US" w:eastAsia="zh-CN"/>
              </w:rPr>
              <w:t>80</w:t>
            </w:r>
            <w:r>
              <w:rPr>
                <w:rFonts w:hint="eastAsia" w:ascii="宋体" w:hAnsi="宋体" w:eastAsia="宋体" w:cs="宋体"/>
              </w:rPr>
              <w:t>0V</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额定电流</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1000-2000</w:t>
            </w:r>
          </w:p>
        </w:tc>
        <w:tc>
          <w:tcPr>
            <w:tcW w:w="2563" w:type="dxa"/>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5</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二次侧额定电流</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eastAsia="zh-CN"/>
              </w:rPr>
            </w:pPr>
            <w:r>
              <w:rPr>
                <w:rFonts w:hint="eastAsia" w:ascii="宋体" w:hAnsi="宋体" w:cs="宋体"/>
                <w:lang w:val="en-US" w:eastAsia="zh-CN"/>
              </w:rPr>
              <w:t>5</w:t>
            </w:r>
          </w:p>
        </w:tc>
        <w:tc>
          <w:tcPr>
            <w:tcW w:w="2563" w:type="dxa"/>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6</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保护及指示用CT准确级</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5P</w:t>
            </w:r>
          </w:p>
        </w:tc>
        <w:tc>
          <w:tcPr>
            <w:tcW w:w="2563" w:type="dxa"/>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7</w:t>
            </w:r>
          </w:p>
        </w:tc>
        <w:tc>
          <w:tcPr>
            <w:tcW w:w="2793" w:type="dxa"/>
            <w:gridSpan w:val="2"/>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容量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VA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20</w:t>
            </w:r>
          </w:p>
        </w:tc>
        <w:tc>
          <w:tcPr>
            <w:tcW w:w="2563" w:type="dxa"/>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表2.4-5</w:t>
      </w:r>
      <w:r>
        <w:rPr>
          <w:rFonts w:hint="eastAsia" w:ascii="宋体" w:hAnsi="宋体" w:eastAsia="宋体" w:cs="宋体"/>
          <w:kern w:val="28"/>
          <w:sz w:val="24"/>
          <w:szCs w:val="24"/>
        </w:rPr>
        <w:tab/>
      </w:r>
      <w:r>
        <w:rPr>
          <w:rFonts w:hint="eastAsia" w:ascii="宋体" w:hAnsi="宋体" w:eastAsia="宋体" w:cs="宋体"/>
          <w:kern w:val="28"/>
          <w:sz w:val="24"/>
          <w:szCs w:val="24"/>
        </w:rPr>
        <w:t>低压侧浪涌技术参数表（采用优质知名品牌）</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93"/>
        <w:gridCol w:w="819"/>
        <w:gridCol w:w="2047"/>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93"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生产厂家</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额定工作电压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V</w:t>
            </w: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800</w:t>
            </w:r>
          </w:p>
        </w:tc>
        <w:tc>
          <w:tcPr>
            <w:tcW w:w="2563"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lang w:eastAsia="zh-CN"/>
              </w:rPr>
              <w:t>持续运行电压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V</w:t>
            </w: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910</w:t>
            </w:r>
          </w:p>
        </w:tc>
        <w:tc>
          <w:tcPr>
            <w:tcW w:w="2563"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5</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标称放电电流</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kA</w:t>
            </w: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w:t>
            </w:r>
          </w:p>
        </w:tc>
        <w:tc>
          <w:tcPr>
            <w:tcW w:w="2563"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lang w:val="en-US" w:eastAsia="zh-CN"/>
              </w:rPr>
              <w:t>6</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雷电保护等级</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Ⅰ+Ⅱ级</w:t>
            </w:r>
          </w:p>
        </w:tc>
        <w:tc>
          <w:tcPr>
            <w:tcW w:w="2563" w:type="dxa"/>
            <w:vAlign w:val="center"/>
          </w:tcPr>
          <w:p>
            <w:pPr>
              <w:pStyle w:val="49"/>
              <w:keepNext w:val="0"/>
              <w:keepLines w:val="0"/>
              <w:suppressLineNumbers w:val="0"/>
              <w:pBdr>
                <w:bottom w:val="none" w:color="auto" w:sz="0" w:space="0"/>
              </w:pBdr>
              <w:tabs>
                <w:tab w:val="left" w:pos="420"/>
              </w:tabs>
              <w:spacing w:before="0" w:beforeAutospacing="0" w:after="0" w:afterAutospacing="0"/>
              <w:ind w:left="0" w:right="0"/>
              <w:rPr>
                <w:rFonts w:hint="eastAsia" w:ascii="宋体" w:hAnsi="宋体" w:eastAsia="宋体" w:cs="宋体"/>
                <w:sz w:val="21"/>
                <w:szCs w:val="21"/>
              </w:rPr>
            </w:pPr>
            <w:r>
              <w:rPr>
                <w:rFonts w:hint="eastAsia" w:ascii="宋体" w:hAnsi="宋体" w:eastAsia="宋体" w:cs="宋体"/>
                <w:sz w:val="21"/>
                <w:szCs w:val="21"/>
              </w:rPr>
              <w:t>（投标人提供）</w:t>
            </w:r>
          </w:p>
        </w:tc>
      </w:tr>
    </w:tbl>
    <w:p>
      <w:pPr>
        <w:rPr>
          <w:rFonts w:hint="eastAsia" w:ascii="宋体" w:hAnsi="宋体" w:eastAsia="宋体" w:cs="宋体"/>
        </w:rPr>
      </w:pPr>
    </w:p>
    <w:p>
      <w:pPr>
        <w:snapToGrid w:val="0"/>
        <w:spacing w:line="360" w:lineRule="auto"/>
        <w:jc w:val="center"/>
        <w:rPr>
          <w:rFonts w:hint="eastAsia" w:ascii="宋体" w:hAnsi="宋体" w:eastAsia="宋体" w:cs="宋体"/>
          <w:kern w:val="28"/>
          <w:sz w:val="24"/>
          <w:szCs w:val="24"/>
        </w:rPr>
      </w:pPr>
      <w:r>
        <w:rPr>
          <w:rFonts w:hint="eastAsia" w:ascii="宋体" w:hAnsi="宋体" w:eastAsia="宋体" w:cs="宋体"/>
          <w:kern w:val="28"/>
          <w:sz w:val="24"/>
          <w:szCs w:val="24"/>
        </w:rPr>
        <w:t>表2.4-6</w:t>
      </w:r>
      <w:r>
        <w:rPr>
          <w:rFonts w:hint="eastAsia" w:ascii="宋体" w:hAnsi="宋体" w:eastAsia="宋体" w:cs="宋体"/>
          <w:kern w:val="28"/>
          <w:sz w:val="24"/>
          <w:szCs w:val="24"/>
        </w:rPr>
        <w:tab/>
      </w:r>
      <w:r>
        <w:rPr>
          <w:rFonts w:hint="eastAsia" w:ascii="宋体" w:hAnsi="宋体" w:eastAsia="宋体" w:cs="宋体"/>
          <w:kern w:val="28"/>
          <w:sz w:val="24"/>
          <w:szCs w:val="24"/>
        </w:rPr>
        <w:t>自用变压器技术参数表</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93"/>
        <w:gridCol w:w="819"/>
        <w:gridCol w:w="2047"/>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93"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型号</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pStyle w:val="49"/>
              <w:keepNext w:val="0"/>
              <w:keepLines w:val="0"/>
              <w:suppressLineNumbers w:val="0"/>
              <w:pBdr>
                <w:bottom w:val="none" w:color="auto" w:sz="0" w:space="0"/>
              </w:pBdr>
              <w:tabs>
                <w:tab w:val="left" w:pos="420"/>
              </w:tabs>
              <w:spacing w:before="48" w:beforeLines="20" w:beforeAutospacing="0" w:after="48" w:afterLines="20" w:afterAutospacing="0"/>
              <w:ind w:left="0" w:right="0" w:firstLine="420"/>
              <w:jc w:val="both"/>
              <w:rPr>
                <w:rFonts w:hint="eastAsia" w:ascii="宋体" w:hAnsi="宋体" w:eastAsia="宋体" w:cs="宋体"/>
                <w:sz w:val="21"/>
                <w:szCs w:val="21"/>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额定容量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kVA</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lang w:val="en-US" w:eastAsia="zh-CN"/>
              </w:rPr>
              <w:t>10</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相数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eastAsia="zh-CN"/>
              </w:rPr>
            </w:pPr>
            <w:r>
              <w:rPr>
                <w:rFonts w:hint="eastAsia" w:ascii="宋体" w:hAnsi="宋体" w:eastAsia="宋体" w:cs="宋体"/>
                <w:lang w:val="en-US" w:eastAsia="zh-CN"/>
              </w:rPr>
              <w:t>3</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高压侧电压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lang w:val="en-US" w:eastAsia="zh-CN"/>
              </w:rPr>
            </w:pPr>
            <w:r>
              <w:rPr>
                <w:rFonts w:hint="eastAsia" w:ascii="宋体" w:hAnsi="宋体" w:eastAsia="宋体" w:cs="宋体"/>
              </w:rPr>
              <w:t>0.</w:t>
            </w:r>
            <w:r>
              <w:rPr>
                <w:rFonts w:hint="eastAsia" w:ascii="宋体" w:hAnsi="宋体" w:eastAsia="宋体" w:cs="宋体"/>
                <w:lang w:val="en-US" w:eastAsia="zh-CN"/>
              </w:rPr>
              <w:t>8</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5</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低压侧电压</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kV</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0.4</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6</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频率</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Hz</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50</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7</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局放</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pC</w:t>
            </w: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5</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表2.4-7</w:t>
      </w:r>
      <w:r>
        <w:rPr>
          <w:rFonts w:hint="eastAsia" w:ascii="宋体" w:hAnsi="宋体" w:eastAsia="宋体" w:cs="宋体"/>
          <w:kern w:val="28"/>
          <w:sz w:val="24"/>
          <w:szCs w:val="24"/>
        </w:rPr>
        <w:tab/>
      </w:r>
      <w:r>
        <w:rPr>
          <w:rFonts w:hint="eastAsia" w:ascii="宋体" w:hAnsi="宋体" w:eastAsia="宋体" w:cs="宋体"/>
          <w:kern w:val="28"/>
          <w:sz w:val="24"/>
          <w:szCs w:val="24"/>
        </w:rPr>
        <w:t>UPS后备电源技术参数表</w:t>
      </w:r>
    </w:p>
    <w:tbl>
      <w:tblPr>
        <w:tblStyle w:val="76"/>
        <w:tblW w:w="894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8"/>
        <w:gridCol w:w="2793"/>
        <w:gridCol w:w="819"/>
        <w:gridCol w:w="2047"/>
        <w:gridCol w:w="25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序号</w:t>
            </w:r>
          </w:p>
        </w:tc>
        <w:tc>
          <w:tcPr>
            <w:tcW w:w="2793" w:type="dxa"/>
            <w:vAlign w:val="center"/>
          </w:tcPr>
          <w:p>
            <w:pPr>
              <w:keepNext w:val="0"/>
              <w:keepLines w:val="0"/>
              <w:suppressLineNumbers w:val="0"/>
              <w:snapToGrid w:val="0"/>
              <w:spacing w:before="48" w:beforeLines="20" w:beforeAutospacing="0" w:after="48" w:afterLines="20" w:afterAutospacing="0"/>
              <w:ind w:left="1025" w:leftChars="488" w:right="699" w:rightChars="333"/>
              <w:jc w:val="center"/>
              <w:rPr>
                <w:rFonts w:hint="eastAsia" w:ascii="宋体" w:hAnsi="宋体" w:eastAsia="宋体" w:cs="宋体"/>
                <w:b/>
              </w:rPr>
            </w:pPr>
            <w:r>
              <w:rPr>
                <w:rFonts w:hint="eastAsia" w:ascii="宋体" w:hAnsi="宋体" w:eastAsia="宋体" w:cs="宋体"/>
                <w:b/>
              </w:rPr>
              <w:t>名称</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单位</w:t>
            </w:r>
          </w:p>
        </w:tc>
        <w:tc>
          <w:tcPr>
            <w:tcW w:w="2047"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标准参数值</w:t>
            </w:r>
          </w:p>
        </w:tc>
        <w:tc>
          <w:tcPr>
            <w:tcW w:w="2563"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b/>
              </w:rPr>
            </w:pPr>
            <w:r>
              <w:rPr>
                <w:rFonts w:hint="eastAsia" w:ascii="宋体" w:hAnsi="宋体" w:eastAsia="宋体" w:cs="宋体"/>
                <w:b/>
              </w:rPr>
              <w:t>卖方保证值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1</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型号</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 xml:space="preserve">2kVA  </w:t>
            </w:r>
            <w:r>
              <w:rPr>
                <w:rFonts w:hint="eastAsia" w:ascii="宋体" w:hAnsi="宋体" w:eastAsia="宋体" w:cs="宋体"/>
                <w:lang w:val="en-US" w:eastAsia="zh-CN"/>
              </w:rPr>
              <w:t>120</w:t>
            </w:r>
            <w:r>
              <w:rPr>
                <w:rFonts w:hint="eastAsia" w:ascii="宋体" w:hAnsi="宋体" w:eastAsia="宋体" w:cs="宋体"/>
              </w:rPr>
              <w:t>min</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2</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生产厂家</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SA"/>
              </w:rPr>
            </w:pP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3</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容量</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2kVA</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8"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r>
              <w:rPr>
                <w:rFonts w:hint="eastAsia" w:ascii="宋体" w:hAnsi="宋体" w:eastAsia="宋体" w:cs="宋体"/>
              </w:rPr>
              <w:t>4</w:t>
            </w:r>
          </w:p>
        </w:tc>
        <w:tc>
          <w:tcPr>
            <w:tcW w:w="2793" w:type="dxa"/>
            <w:vAlign w:val="center"/>
          </w:tcPr>
          <w:p>
            <w:pPr>
              <w:keepNext w:val="0"/>
              <w:keepLines w:val="0"/>
              <w:suppressLineNumbers w:val="0"/>
              <w:snapToGrid w:val="0"/>
              <w:spacing w:before="48" w:beforeLines="20" w:beforeAutospacing="0" w:after="48" w:afterLines="20" w:afterAutospacing="0"/>
              <w:ind w:left="0" w:right="0"/>
              <w:jc w:val="left"/>
              <w:rPr>
                <w:rFonts w:hint="eastAsia" w:ascii="宋体" w:hAnsi="宋体" w:eastAsia="宋体" w:cs="宋体"/>
              </w:rPr>
            </w:pPr>
            <w:r>
              <w:rPr>
                <w:rFonts w:hint="eastAsia" w:ascii="宋体" w:hAnsi="宋体" w:eastAsia="宋体" w:cs="宋体"/>
              </w:rPr>
              <w:t>电池</w:t>
            </w:r>
          </w:p>
        </w:tc>
        <w:tc>
          <w:tcPr>
            <w:tcW w:w="819" w:type="dxa"/>
            <w:vAlign w:val="center"/>
          </w:tcPr>
          <w:p>
            <w:pPr>
              <w:keepNext w:val="0"/>
              <w:keepLines w:val="0"/>
              <w:suppressLineNumbers w:val="0"/>
              <w:snapToGrid w:val="0"/>
              <w:spacing w:before="48" w:beforeLines="20" w:beforeAutospacing="0" w:after="48" w:afterLines="20" w:afterAutospacing="0"/>
              <w:ind w:left="0" w:right="0"/>
              <w:jc w:val="center"/>
              <w:rPr>
                <w:rFonts w:hint="eastAsia" w:ascii="宋体" w:hAnsi="宋体" w:eastAsia="宋体" w:cs="宋体"/>
              </w:rPr>
            </w:pPr>
          </w:p>
        </w:tc>
        <w:tc>
          <w:tcPr>
            <w:tcW w:w="204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lang w:val="en-US" w:eastAsia="zh-CN"/>
              </w:rPr>
              <w:t>120</w:t>
            </w:r>
            <w:r>
              <w:rPr>
                <w:rFonts w:hint="eastAsia" w:ascii="宋体" w:hAnsi="宋体" w:eastAsia="宋体" w:cs="宋体"/>
              </w:rPr>
              <w:t>min</w:t>
            </w:r>
          </w:p>
        </w:tc>
        <w:tc>
          <w:tcPr>
            <w:tcW w:w="2563"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sz w:val="21"/>
                <w:szCs w:val="21"/>
              </w:rPr>
              <w:t>（投标人提供）</w:t>
            </w:r>
          </w:p>
        </w:tc>
      </w:tr>
    </w:tbl>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76" w:name="_Toc9138"/>
      <w:bookmarkStart w:id="277" w:name="_Toc520986951"/>
      <w:bookmarkStart w:id="278" w:name="_Toc520986952"/>
      <w:r>
        <w:rPr>
          <w:rFonts w:hint="eastAsia" w:ascii="宋体" w:hAnsi="宋体" w:eastAsia="宋体" w:cs="宋体"/>
          <w:b w:val="0"/>
          <w:bCs/>
          <w:sz w:val="28"/>
          <w:szCs w:val="28"/>
        </w:rPr>
        <w:t>2.5 箱变监控与保护设备技术要求表</w:t>
      </w:r>
      <w:bookmarkEnd w:id="276"/>
      <w:bookmarkEnd w:id="277"/>
    </w:p>
    <w:p>
      <w:pPr>
        <w:keepNext w:val="0"/>
        <w:keepLines w:val="0"/>
        <w:pageBreakBefore w:val="0"/>
        <w:widowControl w:val="0"/>
        <w:kinsoku/>
        <w:wordWrap/>
        <w:overflowPunct/>
        <w:topLinePunct/>
        <w:autoSpaceDE/>
        <w:autoSpaceDN/>
        <w:bidi w:val="0"/>
        <w:adjustRightInd/>
        <w:snapToGrid w:val="0"/>
        <w:spacing w:before="157" w:beforeLines="50" w:line="360" w:lineRule="auto"/>
        <w:jc w:val="center"/>
        <w:textAlignment w:val="auto"/>
        <w:rPr>
          <w:rFonts w:hint="eastAsia" w:ascii="宋体" w:hAnsi="宋体" w:eastAsia="宋体" w:cs="宋体"/>
          <w:kern w:val="28"/>
          <w:sz w:val="24"/>
          <w:szCs w:val="24"/>
        </w:rPr>
      </w:pPr>
      <w:r>
        <w:rPr>
          <w:rFonts w:hint="eastAsia" w:ascii="宋体" w:hAnsi="宋体" w:eastAsia="宋体" w:cs="宋体"/>
          <w:kern w:val="28"/>
          <w:sz w:val="24"/>
          <w:szCs w:val="24"/>
        </w:rPr>
        <w:t>表2.5-1  箱变监控与保护设备清单（箱变监控与综自独立组网）</w:t>
      </w:r>
    </w:p>
    <w:tbl>
      <w:tblPr>
        <w:tblStyle w:val="76"/>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669"/>
        <w:gridCol w:w="4854"/>
        <w:gridCol w:w="654"/>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序号</w:t>
            </w:r>
          </w:p>
        </w:tc>
        <w:tc>
          <w:tcPr>
            <w:tcW w:w="166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名称</w:t>
            </w:r>
          </w:p>
        </w:tc>
        <w:tc>
          <w:tcPr>
            <w:tcW w:w="48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规格、性能</w:t>
            </w:r>
          </w:p>
        </w:tc>
        <w:tc>
          <w:tcPr>
            <w:tcW w:w="6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数量</w:t>
            </w:r>
          </w:p>
        </w:tc>
        <w:tc>
          <w:tcPr>
            <w:tcW w:w="1167"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b/>
              </w:rPr>
            </w:pPr>
            <w:r>
              <w:rPr>
                <w:rFonts w:hint="eastAsia" w:ascii="宋体" w:hAnsi="宋体" w:eastAsia="宋体" w:cs="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3" w:type="dxa"/>
            <w:gridSpan w:val="5"/>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二、子控层设备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669"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箱变测控装置</w:t>
            </w:r>
            <w:r>
              <w:rPr>
                <w:rFonts w:hint="eastAsia" w:ascii="宋体" w:hAnsi="宋体" w:eastAsia="宋体" w:cs="宋体"/>
                <w:b/>
              </w:rPr>
              <w:t>（采用优质知名品牌）规约标准，保证能和后台正常通信</w:t>
            </w:r>
          </w:p>
        </w:tc>
        <w:tc>
          <w:tcPr>
            <w:tcW w:w="4854"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装置电源为AC220V；DI点24个， DO点8个，交流采样输入点12个，直流采样输入点4个，3路4-20mA和3路PT100，光口2组，RS485通信接口1个。</w:t>
            </w:r>
          </w:p>
        </w:tc>
        <w:tc>
          <w:tcPr>
            <w:tcW w:w="6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167" w:type="dxa"/>
            <w:vMerge w:val="restart"/>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按本期工程建设箱变数量配置，每台箱变配置1套（环网光纤交换机共一台）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2</w:t>
            </w:r>
          </w:p>
        </w:tc>
        <w:tc>
          <w:tcPr>
            <w:tcW w:w="1669"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UPS电源</w:t>
            </w:r>
            <w:r>
              <w:rPr>
                <w:rFonts w:hint="eastAsia" w:ascii="宋体" w:hAnsi="宋体" w:eastAsia="宋体" w:cs="宋体"/>
                <w:b/>
              </w:rPr>
              <w:t>（采用优质知名品牌）</w:t>
            </w:r>
          </w:p>
        </w:tc>
        <w:tc>
          <w:tcPr>
            <w:tcW w:w="4854"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2kVA，自带蓄电池，满足</w:t>
            </w:r>
            <w:r>
              <w:rPr>
                <w:rFonts w:hint="eastAsia" w:ascii="宋体" w:hAnsi="宋体" w:eastAsia="宋体" w:cs="宋体"/>
                <w:lang w:val="en-US" w:eastAsia="zh-CN"/>
              </w:rPr>
              <w:t>120</w:t>
            </w:r>
            <w:r>
              <w:rPr>
                <w:rFonts w:hint="eastAsia" w:ascii="宋体" w:hAnsi="宋体" w:eastAsia="宋体" w:cs="宋体"/>
              </w:rPr>
              <w:t>min停电需求。交流到直流切换时间0s，交流到交流切换时间小于5ms。</w:t>
            </w:r>
          </w:p>
        </w:tc>
        <w:tc>
          <w:tcPr>
            <w:tcW w:w="6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167"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3</w:t>
            </w:r>
          </w:p>
        </w:tc>
        <w:tc>
          <w:tcPr>
            <w:tcW w:w="1669"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交换机</w:t>
            </w:r>
            <w:r>
              <w:rPr>
                <w:rFonts w:hint="eastAsia" w:ascii="宋体" w:hAnsi="宋体" w:eastAsia="宋体" w:cs="宋体"/>
                <w:b/>
              </w:rPr>
              <w:t>（采用优质知名品牌）</w:t>
            </w:r>
          </w:p>
        </w:tc>
        <w:tc>
          <w:tcPr>
            <w:tcW w:w="4854"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光纤环网交换机，工作电源为AC220V；SC单模光口</w:t>
            </w:r>
            <w:r>
              <w:rPr>
                <w:rFonts w:hint="eastAsia" w:ascii="宋体" w:hAnsi="宋体" w:eastAsia="宋体" w:cs="宋体"/>
                <w:lang w:val="en-US" w:eastAsia="zh-CN"/>
              </w:rPr>
              <w:t>4</w:t>
            </w:r>
            <w:r>
              <w:rPr>
                <w:rFonts w:hint="eastAsia" w:ascii="宋体" w:hAnsi="宋体" w:eastAsia="宋体" w:cs="宋体"/>
              </w:rPr>
              <w:t>组、电口</w:t>
            </w:r>
            <w:r>
              <w:rPr>
                <w:rFonts w:hint="eastAsia" w:ascii="宋体" w:hAnsi="宋体" w:eastAsia="宋体" w:cs="宋体"/>
                <w:lang w:val="en-US" w:eastAsia="zh-CN"/>
              </w:rPr>
              <w:t>8</w:t>
            </w:r>
            <w:r>
              <w:rPr>
                <w:rFonts w:hint="eastAsia" w:ascii="宋体" w:hAnsi="宋体" w:eastAsia="宋体" w:cs="宋体"/>
              </w:rPr>
              <w:t>个；工作温度：-40℃~70℃。</w:t>
            </w:r>
          </w:p>
        </w:tc>
        <w:tc>
          <w:tcPr>
            <w:tcW w:w="6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167"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4</w:t>
            </w:r>
          </w:p>
        </w:tc>
        <w:tc>
          <w:tcPr>
            <w:tcW w:w="1669"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光纤终端盒</w:t>
            </w:r>
            <w:r>
              <w:rPr>
                <w:rFonts w:hint="eastAsia" w:ascii="宋体" w:hAnsi="宋体" w:eastAsia="宋体" w:cs="宋体"/>
                <w:b/>
              </w:rPr>
              <w:t>（采用优质知名品牌）</w:t>
            </w:r>
          </w:p>
        </w:tc>
        <w:tc>
          <w:tcPr>
            <w:tcW w:w="4854"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 xml:space="preserve">2进24出尾纤盒，尾纤满配，每根尾纤预留3m。 </w:t>
            </w:r>
          </w:p>
        </w:tc>
        <w:tc>
          <w:tcPr>
            <w:tcW w:w="6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167"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5</w:t>
            </w:r>
          </w:p>
        </w:tc>
        <w:tc>
          <w:tcPr>
            <w:tcW w:w="1669"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其它</w:t>
            </w:r>
          </w:p>
        </w:tc>
        <w:tc>
          <w:tcPr>
            <w:tcW w:w="4854"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各装置之间连接导线。网线及其它附件</w:t>
            </w:r>
          </w:p>
        </w:tc>
        <w:tc>
          <w:tcPr>
            <w:tcW w:w="65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r>
              <w:rPr>
                <w:rFonts w:hint="eastAsia" w:ascii="宋体" w:hAnsi="宋体" w:eastAsia="宋体" w:cs="宋体"/>
              </w:rPr>
              <w:t>1</w:t>
            </w:r>
          </w:p>
        </w:tc>
        <w:tc>
          <w:tcPr>
            <w:tcW w:w="1167"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r>
    </w:tbl>
    <w:p>
      <w:pPr>
        <w:pStyle w:val="4"/>
        <w:keepNext/>
        <w:keepLines/>
        <w:pageBreakBefore w:val="0"/>
        <w:widowControl w:val="0"/>
        <w:kinsoku/>
        <w:wordWrap/>
        <w:overflowPunct/>
        <w:topLinePunct/>
        <w:autoSpaceDE/>
        <w:autoSpaceDN/>
        <w:bidi w:val="0"/>
        <w:adjustRightInd/>
        <w:snapToGrid/>
        <w:spacing w:before="157" w:beforeLines="50" w:after="0" w:line="360" w:lineRule="auto"/>
        <w:textAlignment w:val="auto"/>
        <w:rPr>
          <w:rFonts w:hint="eastAsia" w:ascii="宋体" w:hAnsi="宋体" w:eastAsia="宋体" w:cs="宋体"/>
          <w:b w:val="0"/>
          <w:bCs/>
          <w:sz w:val="28"/>
          <w:szCs w:val="28"/>
        </w:rPr>
      </w:pPr>
      <w:bookmarkStart w:id="279" w:name="_Toc1574"/>
      <w:r>
        <w:rPr>
          <w:rFonts w:hint="eastAsia" w:ascii="宋体" w:hAnsi="宋体" w:eastAsia="宋体" w:cs="宋体"/>
          <w:b w:val="0"/>
          <w:bCs/>
          <w:sz w:val="28"/>
          <w:szCs w:val="28"/>
        </w:rPr>
        <w:t>2.6</w:t>
      </w:r>
      <w:r>
        <w:rPr>
          <w:rFonts w:hint="eastAsia" w:ascii="宋体" w:hAnsi="宋体" w:cs="宋体"/>
          <w:b w:val="0"/>
          <w:bCs/>
          <w:sz w:val="28"/>
          <w:szCs w:val="28"/>
          <w:lang w:val="en-US" w:eastAsia="zh-CN"/>
        </w:rPr>
        <w:t xml:space="preserve"> </w:t>
      </w:r>
      <w:r>
        <w:rPr>
          <w:rFonts w:hint="eastAsia" w:ascii="宋体" w:hAnsi="宋体" w:eastAsia="宋体" w:cs="宋体"/>
          <w:b w:val="0"/>
          <w:bCs/>
          <w:sz w:val="28"/>
          <w:szCs w:val="28"/>
        </w:rPr>
        <w:t>箱变明确事项一览表</w:t>
      </w:r>
      <w:bookmarkEnd w:id="278"/>
      <w:bookmarkEnd w:id="279"/>
    </w:p>
    <w:p>
      <w:pPr>
        <w:snapToGrid w:val="0"/>
        <w:spacing w:line="360" w:lineRule="auto"/>
        <w:jc w:val="center"/>
        <w:rPr>
          <w:rFonts w:hint="eastAsia" w:ascii="宋体" w:hAnsi="宋体" w:eastAsia="宋体" w:cs="宋体"/>
        </w:rPr>
      </w:pPr>
      <w:r>
        <w:rPr>
          <w:rFonts w:hint="eastAsia" w:ascii="宋体" w:hAnsi="宋体" w:eastAsia="宋体" w:cs="宋体"/>
          <w:sz w:val="24"/>
          <w:szCs w:val="24"/>
        </w:rPr>
        <w:t xml:space="preserve">表2.6-1   </w:t>
      </w:r>
      <w:r>
        <w:rPr>
          <w:rFonts w:hint="eastAsia" w:ascii="宋体" w:hAnsi="宋体" w:eastAsia="宋体" w:cs="宋体"/>
          <w:kern w:val="28"/>
          <w:sz w:val="24"/>
          <w:szCs w:val="24"/>
        </w:rPr>
        <w:t>箱变明确事项一览表</w:t>
      </w:r>
    </w:p>
    <w:tbl>
      <w:tblPr>
        <w:tblStyle w:val="76"/>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2400"/>
        <w:gridCol w:w="5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rPr>
            </w:pPr>
            <w:r>
              <w:rPr>
                <w:rFonts w:hint="eastAsia" w:ascii="宋体" w:hAnsi="宋体" w:eastAsia="宋体" w:cs="宋体"/>
                <w:b/>
              </w:rPr>
              <w:t>序号</w:t>
            </w:r>
          </w:p>
        </w:tc>
        <w:tc>
          <w:tcPr>
            <w:tcW w:w="2400"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rPr>
            </w:pPr>
            <w:r>
              <w:rPr>
                <w:rFonts w:hint="eastAsia" w:ascii="宋体" w:hAnsi="宋体" w:eastAsia="宋体" w:cs="宋体"/>
                <w:b/>
              </w:rPr>
              <w:t>名    称</w:t>
            </w:r>
          </w:p>
        </w:tc>
        <w:tc>
          <w:tcPr>
            <w:tcW w:w="5776"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rPr>
            </w:pPr>
            <w:r>
              <w:rPr>
                <w:rFonts w:hint="eastAsia" w:ascii="宋体" w:hAnsi="宋体" w:eastAsia="宋体" w:cs="宋体"/>
                <w:b/>
              </w:rPr>
              <w:t>项目单位要求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rPr>
            </w:pPr>
            <w:r>
              <w:rPr>
                <w:rFonts w:hint="eastAsia" w:ascii="宋体" w:hAnsi="宋体" w:eastAsia="宋体" w:cs="宋体"/>
              </w:rPr>
              <w:t>1</w:t>
            </w:r>
          </w:p>
        </w:tc>
        <w:tc>
          <w:tcPr>
            <w:tcW w:w="2400"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出线方式</w:t>
            </w:r>
          </w:p>
        </w:tc>
        <w:tc>
          <w:tcPr>
            <w:tcW w:w="5776"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高压侧电缆下出线直埋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rPr>
            </w:pPr>
            <w:r>
              <w:rPr>
                <w:rFonts w:hint="eastAsia" w:ascii="宋体" w:hAnsi="宋体" w:eastAsia="宋体" w:cs="宋体"/>
              </w:rPr>
              <w:t>2</w:t>
            </w:r>
          </w:p>
        </w:tc>
        <w:tc>
          <w:tcPr>
            <w:tcW w:w="2400"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组成方式</w:t>
            </w:r>
          </w:p>
        </w:tc>
        <w:tc>
          <w:tcPr>
            <w:tcW w:w="5776"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由高/低压室两个小室加变压器组成，变压器采用干式变压器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rPr>
            </w:pPr>
            <w:r>
              <w:rPr>
                <w:rFonts w:hint="eastAsia" w:ascii="宋体" w:hAnsi="宋体" w:eastAsia="宋体" w:cs="宋体"/>
              </w:rPr>
              <w:t>3</w:t>
            </w:r>
          </w:p>
        </w:tc>
        <w:tc>
          <w:tcPr>
            <w:tcW w:w="2400"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组合型式</w:t>
            </w:r>
          </w:p>
        </w:tc>
        <w:tc>
          <w:tcPr>
            <w:tcW w:w="5776"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高压侧：避雷器+</w:t>
            </w:r>
            <w:r>
              <w:rPr>
                <w:rFonts w:hint="eastAsia" w:ascii="宋体" w:hAnsi="宋体" w:cs="宋体"/>
                <w:lang w:val="en-US" w:eastAsia="zh-CN"/>
              </w:rPr>
              <w:t>断路器</w:t>
            </w:r>
            <w:r>
              <w:rPr>
                <w:rFonts w:hint="eastAsia" w:ascii="宋体" w:hAnsi="宋体" w:eastAsia="宋体" w:cs="宋体"/>
              </w:rPr>
              <w:t>+隔离开关+接地开关，</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低压侧：框架断路器+低压浪涌/避雷器+自带干式变压器</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低压铜母排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rPr>
            </w:pPr>
            <w:r>
              <w:rPr>
                <w:rFonts w:hint="eastAsia" w:ascii="宋体" w:hAnsi="宋体" w:eastAsia="宋体" w:cs="宋体"/>
              </w:rPr>
              <w:t>4</w:t>
            </w:r>
          </w:p>
        </w:tc>
        <w:tc>
          <w:tcPr>
            <w:tcW w:w="2400"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高压侧保护电器的型式</w:t>
            </w:r>
          </w:p>
        </w:tc>
        <w:tc>
          <w:tcPr>
            <w:tcW w:w="5776"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cs="宋体"/>
                <w:lang w:val="en-US" w:eastAsia="zh-CN"/>
              </w:rPr>
              <w:t>10</w:t>
            </w:r>
            <w:r>
              <w:rPr>
                <w:rFonts w:hint="eastAsia" w:ascii="宋体" w:hAnsi="宋体" w:eastAsia="宋体" w:cs="宋体"/>
              </w:rPr>
              <w:t>kV断路器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rPr>
            </w:pPr>
            <w:r>
              <w:rPr>
                <w:rFonts w:hint="eastAsia" w:ascii="宋体" w:hAnsi="宋体" w:eastAsia="宋体" w:cs="宋体"/>
              </w:rPr>
              <w:t>5</w:t>
            </w:r>
          </w:p>
        </w:tc>
        <w:tc>
          <w:tcPr>
            <w:tcW w:w="8176" w:type="dxa"/>
            <w:gridSpan w:val="2"/>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电缆型号及规格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rPr>
            </w:pPr>
            <w:r>
              <w:rPr>
                <w:rFonts w:hint="eastAsia" w:ascii="宋体" w:hAnsi="宋体" w:eastAsia="宋体" w:cs="宋体"/>
              </w:rPr>
              <w:t>（1）</w:t>
            </w:r>
          </w:p>
        </w:tc>
        <w:tc>
          <w:tcPr>
            <w:tcW w:w="2400"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低压电缆</w:t>
            </w:r>
          </w:p>
        </w:tc>
        <w:tc>
          <w:tcPr>
            <w:tcW w:w="5776"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见附图及最终确认图纸为准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rPr>
            </w:pPr>
            <w:r>
              <w:rPr>
                <w:rFonts w:hint="eastAsia" w:ascii="宋体" w:hAnsi="宋体" w:eastAsia="宋体" w:cs="宋体"/>
              </w:rPr>
              <w:t>（2）</w:t>
            </w:r>
          </w:p>
        </w:tc>
        <w:tc>
          <w:tcPr>
            <w:tcW w:w="2400"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高压电缆</w:t>
            </w:r>
          </w:p>
        </w:tc>
        <w:tc>
          <w:tcPr>
            <w:tcW w:w="5776"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见附图及最终确认图纸为准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7"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rPr>
            </w:pPr>
            <w:r>
              <w:rPr>
                <w:rFonts w:hint="eastAsia" w:ascii="宋体" w:hAnsi="宋体" w:eastAsia="宋体" w:cs="宋体"/>
              </w:rPr>
              <w:t>6</w:t>
            </w:r>
          </w:p>
        </w:tc>
        <w:tc>
          <w:tcPr>
            <w:tcW w:w="2400"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监控组网方案</w:t>
            </w:r>
          </w:p>
        </w:tc>
        <w:tc>
          <w:tcPr>
            <w:tcW w:w="5776" w:type="dxa"/>
            <w:vAlign w:val="center"/>
          </w:tcPr>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auto"/>
              <w:ind w:left="0" w:right="0"/>
              <w:jc w:val="left"/>
              <w:textAlignment w:val="auto"/>
              <w:rPr>
                <w:rFonts w:hint="eastAsia" w:ascii="宋体" w:hAnsi="宋体" w:eastAsia="宋体" w:cs="宋体"/>
              </w:rPr>
            </w:pPr>
            <w:r>
              <w:rPr>
                <w:rFonts w:hint="eastAsia" w:ascii="宋体" w:hAnsi="宋体" w:eastAsia="宋体" w:cs="宋体"/>
              </w:rPr>
              <w:t>监控与综自后台独立组网</w:t>
            </w:r>
          </w:p>
        </w:tc>
      </w:tr>
    </w:tbl>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80" w:name="_Toc13069"/>
      <w:bookmarkStart w:id="281" w:name="_Toc520986953"/>
      <w:bookmarkStart w:id="282" w:name="_Toc349565666"/>
      <w:bookmarkStart w:id="283" w:name="_Toc382830694"/>
      <w:r>
        <w:rPr>
          <w:rFonts w:hint="eastAsia" w:ascii="宋体" w:hAnsi="宋体" w:eastAsia="宋体" w:cs="宋体"/>
          <w:highlight w:val="none"/>
        </w:rPr>
        <w:t>3项目需求部分</w:t>
      </w:r>
      <w:bookmarkEnd w:id="280"/>
      <w:bookmarkEnd w:id="281"/>
      <w:bookmarkEnd w:id="282"/>
      <w:bookmarkEnd w:id="283"/>
    </w:p>
    <w:p>
      <w:pPr>
        <w:spacing w:line="360" w:lineRule="auto"/>
        <w:jc w:val="left"/>
        <w:rPr>
          <w:rFonts w:hint="eastAsia" w:ascii="宋体" w:hAnsi="宋体" w:eastAsia="宋体" w:cs="宋体"/>
        </w:rPr>
      </w:pPr>
      <w:r>
        <w:rPr>
          <w:rFonts w:hint="eastAsia" w:ascii="宋体" w:hAnsi="宋体" w:eastAsia="宋体" w:cs="宋体"/>
        </w:rPr>
        <w:t>以下是单台货物需求及供货范围一览表,本项目</w:t>
      </w:r>
      <w:r>
        <w:rPr>
          <w:rFonts w:hint="eastAsia" w:ascii="宋体" w:hAnsi="宋体" w:eastAsia="宋体" w:cs="宋体"/>
          <w:b/>
          <w:bCs/>
        </w:rPr>
        <w:t>共</w:t>
      </w:r>
      <w:r>
        <w:rPr>
          <w:rFonts w:hint="eastAsia" w:ascii="宋体" w:hAnsi="宋体" w:cs="宋体"/>
          <w:b/>
          <w:bCs/>
          <w:lang w:val="en-US" w:eastAsia="zh-CN"/>
        </w:rPr>
        <w:t>6</w:t>
      </w:r>
      <w:r>
        <w:rPr>
          <w:rFonts w:hint="eastAsia" w:ascii="宋体" w:hAnsi="宋体" w:eastAsia="宋体" w:cs="宋体"/>
          <w:b/>
          <w:bCs/>
        </w:rPr>
        <w:t>台（1个站总量</w:t>
      </w:r>
      <w:r>
        <w:rPr>
          <w:rFonts w:hint="eastAsia" w:ascii="宋体" w:hAnsi="宋体" w:eastAsia="宋体" w:cs="宋体"/>
        </w:rPr>
        <w:t>），供货位置以业主指定为准。</w:t>
      </w:r>
    </w:p>
    <w:tbl>
      <w:tblPr>
        <w:tblStyle w:val="7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1579"/>
        <w:gridCol w:w="1529"/>
        <w:gridCol w:w="749"/>
        <w:gridCol w:w="924"/>
        <w:gridCol w:w="3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noWrap w:val="0"/>
            <w:vAlign w:val="center"/>
          </w:tcPr>
          <w:p>
            <w:pPr>
              <w:pStyle w:val="372"/>
              <w:suppressLineNumbers w:val="0"/>
              <w:spacing w:before="0" w:beforeAutospacing="0" w:after="0" w:afterAutospacing="0"/>
              <w:ind w:left="0" w:right="0"/>
              <w:rPr>
                <w:rFonts w:hint="default"/>
              </w:rPr>
            </w:pPr>
            <w:bookmarkStart w:id="284" w:name="_Hlk10109515"/>
            <w:r>
              <w:rPr>
                <w:rFonts w:hint="default"/>
              </w:rPr>
              <w:t>序号</w:t>
            </w:r>
          </w:p>
        </w:tc>
        <w:tc>
          <w:tcPr>
            <w:tcW w:w="877" w:type="pct"/>
            <w:noWrap w:val="0"/>
            <w:vAlign w:val="center"/>
          </w:tcPr>
          <w:p>
            <w:pPr>
              <w:pStyle w:val="372"/>
              <w:suppressLineNumbers w:val="0"/>
              <w:spacing w:before="0" w:beforeAutospacing="0" w:after="0" w:afterAutospacing="0"/>
              <w:ind w:left="0" w:right="0"/>
              <w:rPr>
                <w:rFonts w:hint="default"/>
              </w:rPr>
            </w:pPr>
            <w:r>
              <w:rPr>
                <w:rFonts w:hint="default"/>
              </w:rPr>
              <w:t>名称</w:t>
            </w:r>
          </w:p>
        </w:tc>
        <w:tc>
          <w:tcPr>
            <w:tcW w:w="849" w:type="pct"/>
            <w:noWrap w:val="0"/>
            <w:vAlign w:val="center"/>
          </w:tcPr>
          <w:p>
            <w:pPr>
              <w:pStyle w:val="372"/>
              <w:suppressLineNumbers w:val="0"/>
              <w:spacing w:before="0" w:beforeAutospacing="0" w:after="0" w:afterAutospacing="0"/>
              <w:ind w:left="0" w:right="0"/>
              <w:rPr>
                <w:rFonts w:hint="default"/>
              </w:rPr>
            </w:pPr>
            <w:r>
              <w:rPr>
                <w:rFonts w:hint="default"/>
              </w:rPr>
              <w:t>规格和型号</w:t>
            </w:r>
          </w:p>
        </w:tc>
        <w:tc>
          <w:tcPr>
            <w:tcW w:w="416" w:type="pct"/>
            <w:noWrap w:val="0"/>
            <w:vAlign w:val="center"/>
          </w:tcPr>
          <w:p>
            <w:pPr>
              <w:pStyle w:val="372"/>
              <w:suppressLineNumbers w:val="0"/>
              <w:spacing w:before="0" w:beforeAutospacing="0" w:after="0" w:afterAutospacing="0"/>
              <w:ind w:left="0" w:right="0"/>
              <w:rPr>
                <w:rFonts w:hint="default"/>
              </w:rPr>
            </w:pPr>
            <w:r>
              <w:rPr>
                <w:rFonts w:hint="default"/>
              </w:rPr>
              <w:t>单位</w:t>
            </w:r>
          </w:p>
        </w:tc>
        <w:tc>
          <w:tcPr>
            <w:tcW w:w="513" w:type="pct"/>
            <w:noWrap w:val="0"/>
            <w:vAlign w:val="center"/>
          </w:tcPr>
          <w:p>
            <w:pPr>
              <w:pStyle w:val="372"/>
              <w:suppressLineNumbers w:val="0"/>
              <w:spacing w:before="0" w:beforeAutospacing="0" w:after="0" w:afterAutospacing="0"/>
              <w:ind w:left="0" w:right="0"/>
              <w:rPr>
                <w:rFonts w:hint="default"/>
              </w:rPr>
            </w:pPr>
            <w:r>
              <w:rPr>
                <w:rFonts w:hint="default"/>
              </w:rPr>
              <w:t>数量</w:t>
            </w:r>
          </w:p>
        </w:tc>
        <w:tc>
          <w:tcPr>
            <w:tcW w:w="1960" w:type="pct"/>
            <w:noWrap w:val="0"/>
            <w:vAlign w:val="center"/>
          </w:tcPr>
          <w:p>
            <w:pPr>
              <w:pStyle w:val="372"/>
              <w:suppressLineNumbers w:val="0"/>
              <w:spacing w:before="0" w:beforeAutospacing="0" w:after="0" w:afterAutospacing="0"/>
              <w:ind w:left="0" w:right="0"/>
              <w:rPr>
                <w:rFonts w:hint="default"/>
              </w:rPr>
            </w:pPr>
            <w:r>
              <w:rPr>
                <w:rFonts w:hint="default"/>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noWrap w:val="0"/>
            <w:vAlign w:val="center"/>
          </w:tcPr>
          <w:p>
            <w:pPr>
              <w:pStyle w:val="372"/>
              <w:suppressLineNumbers w:val="0"/>
              <w:spacing w:before="0" w:beforeAutospacing="0" w:after="0" w:afterAutospacing="0"/>
              <w:ind w:left="0" w:right="0"/>
              <w:rPr>
                <w:rFonts w:hint="default"/>
              </w:rPr>
            </w:pPr>
            <w:r>
              <w:rPr>
                <w:rFonts w:hint="default"/>
              </w:rPr>
              <w:t>1</w:t>
            </w:r>
          </w:p>
        </w:tc>
        <w:tc>
          <w:tcPr>
            <w:tcW w:w="877" w:type="pct"/>
            <w:noWrap w:val="0"/>
            <w:vAlign w:val="center"/>
          </w:tcPr>
          <w:p>
            <w:pPr>
              <w:pStyle w:val="372"/>
              <w:suppressLineNumbers w:val="0"/>
              <w:spacing w:before="0" w:beforeAutospacing="0" w:after="0" w:afterAutospacing="0"/>
              <w:ind w:left="0" w:right="0"/>
              <w:rPr>
                <w:rFonts w:hint="default"/>
              </w:rPr>
            </w:pPr>
            <w:r>
              <w:rPr>
                <w:rFonts w:hint="default"/>
              </w:rPr>
              <w:t>10kV箱式变压器</w:t>
            </w:r>
          </w:p>
        </w:tc>
        <w:tc>
          <w:tcPr>
            <w:tcW w:w="849" w:type="pct"/>
            <w:noWrap w:val="0"/>
            <w:vAlign w:val="center"/>
          </w:tcPr>
          <w:p>
            <w:pPr>
              <w:pStyle w:val="372"/>
              <w:suppressLineNumbers w:val="0"/>
              <w:spacing w:before="0" w:beforeAutospacing="0" w:after="0" w:afterAutospacing="0"/>
              <w:ind w:left="0" w:right="0"/>
              <w:rPr>
                <w:rFonts w:hint="default"/>
              </w:rPr>
            </w:pPr>
            <w:r>
              <w:rPr>
                <w:rFonts w:hint="eastAsia"/>
              </w:rPr>
              <w:t>2</w:t>
            </w:r>
            <w:r>
              <w:rPr>
                <w:rFonts w:hint="eastAsia"/>
                <w:lang w:val="en-US" w:eastAsia="zh-CN"/>
              </w:rPr>
              <w:t>5</w:t>
            </w:r>
            <w:r>
              <w:rPr>
                <w:rFonts w:hint="eastAsia"/>
              </w:rPr>
              <w:t>00kVA</w:t>
            </w:r>
          </w:p>
        </w:tc>
        <w:tc>
          <w:tcPr>
            <w:tcW w:w="416" w:type="pct"/>
            <w:noWrap w:val="0"/>
            <w:vAlign w:val="center"/>
          </w:tcPr>
          <w:p>
            <w:pPr>
              <w:pStyle w:val="372"/>
              <w:suppressLineNumbers w:val="0"/>
              <w:spacing w:before="0" w:beforeAutospacing="0" w:after="0" w:afterAutospacing="0"/>
              <w:ind w:left="0" w:right="0"/>
              <w:rPr>
                <w:rFonts w:hint="default"/>
              </w:rPr>
            </w:pPr>
            <w:r>
              <w:rPr>
                <w:rFonts w:hint="default"/>
              </w:rPr>
              <w:t>台</w:t>
            </w:r>
          </w:p>
        </w:tc>
        <w:tc>
          <w:tcPr>
            <w:tcW w:w="513" w:type="pct"/>
            <w:noWrap w:val="0"/>
            <w:vAlign w:val="center"/>
          </w:tcPr>
          <w:p>
            <w:pPr>
              <w:pStyle w:val="372"/>
              <w:suppressLineNumbers w:val="0"/>
              <w:spacing w:before="0" w:beforeAutospacing="0" w:after="0" w:afterAutospacing="0"/>
              <w:ind w:left="0" w:right="0"/>
              <w:rPr>
                <w:rFonts w:hint="eastAsia" w:eastAsia="宋体"/>
                <w:lang w:eastAsia="zh-CN"/>
              </w:rPr>
            </w:pPr>
            <w:r>
              <w:rPr>
                <w:rFonts w:hint="eastAsia"/>
                <w:lang w:val="en-US" w:eastAsia="zh-CN"/>
              </w:rPr>
              <w:t>2</w:t>
            </w:r>
          </w:p>
        </w:tc>
        <w:tc>
          <w:tcPr>
            <w:tcW w:w="1960" w:type="pct"/>
            <w:vMerge w:val="restart"/>
            <w:noWrap w:val="0"/>
            <w:vAlign w:val="center"/>
          </w:tcPr>
          <w:p>
            <w:pPr>
              <w:pStyle w:val="372"/>
              <w:suppressLineNumbers w:val="0"/>
              <w:spacing w:before="0" w:beforeAutospacing="0" w:after="0" w:afterAutospacing="0"/>
              <w:ind w:left="0" w:right="0"/>
              <w:rPr>
                <w:rFonts w:hint="default"/>
              </w:rPr>
            </w:pPr>
            <w:r>
              <w:rPr>
                <w:rFonts w:hint="default"/>
              </w:rPr>
              <w:t>变压器采用干式变压器。高压室采</w:t>
            </w:r>
            <w:r>
              <w:rPr>
                <w:rFonts w:hint="eastAsia"/>
              </w:rPr>
              <w:t>用断路器和隔离开关；</w:t>
            </w:r>
            <w:r>
              <w:rPr>
                <w:rFonts w:hint="default"/>
              </w:rPr>
              <w:t>低压侧配框架断路器、干变及箱变智能控制单元。含必要的附属设备及备品配件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noWrap w:val="0"/>
            <w:vAlign w:val="center"/>
          </w:tcPr>
          <w:p>
            <w:pPr>
              <w:pStyle w:val="372"/>
              <w:suppressLineNumbers w:val="0"/>
              <w:spacing w:before="0" w:beforeAutospacing="0" w:after="0" w:afterAutospacing="0"/>
              <w:ind w:left="0" w:right="0" w:firstLine="0" w:firstLineChars="0"/>
              <w:rPr>
                <w:rFonts w:hint="eastAsia" w:ascii="Times New Roman" w:hAnsi="Times New Roman" w:eastAsia="宋体" w:cs="Times New Roman"/>
                <w:kern w:val="44"/>
                <w:sz w:val="21"/>
                <w:szCs w:val="21"/>
                <w:lang w:val="en-US" w:eastAsia="zh-CN" w:bidi="ar-SA"/>
              </w:rPr>
            </w:pPr>
            <w:r>
              <w:rPr>
                <w:rFonts w:hint="eastAsia"/>
                <w:lang w:val="en-US" w:eastAsia="zh-CN"/>
              </w:rPr>
              <w:t>2</w:t>
            </w:r>
          </w:p>
        </w:tc>
        <w:tc>
          <w:tcPr>
            <w:tcW w:w="877" w:type="pct"/>
            <w:noWrap w:val="0"/>
            <w:vAlign w:val="center"/>
          </w:tcPr>
          <w:p>
            <w:pPr>
              <w:pStyle w:val="372"/>
              <w:suppressLineNumbers w:val="0"/>
              <w:spacing w:before="0" w:beforeAutospacing="0" w:after="0" w:afterAutospacing="0"/>
              <w:ind w:left="0" w:right="0" w:firstLine="0" w:firstLineChars="0"/>
              <w:rPr>
                <w:rFonts w:hint="default" w:ascii="Times New Roman" w:hAnsi="Times New Roman" w:eastAsia="宋体" w:cs="Times New Roman"/>
                <w:kern w:val="44"/>
                <w:sz w:val="21"/>
                <w:szCs w:val="21"/>
                <w:lang w:val="en-US" w:eastAsia="zh-CN" w:bidi="ar-SA"/>
              </w:rPr>
            </w:pPr>
            <w:r>
              <w:rPr>
                <w:rFonts w:hint="default"/>
              </w:rPr>
              <w:t>10kV箱式变压器</w:t>
            </w:r>
          </w:p>
        </w:tc>
        <w:tc>
          <w:tcPr>
            <w:tcW w:w="849" w:type="pct"/>
            <w:noWrap w:val="0"/>
            <w:vAlign w:val="center"/>
          </w:tcPr>
          <w:p>
            <w:pPr>
              <w:pStyle w:val="372"/>
              <w:suppressLineNumbers w:val="0"/>
              <w:spacing w:before="0" w:beforeAutospacing="0" w:after="0" w:afterAutospacing="0"/>
              <w:ind w:left="0" w:right="0" w:firstLine="0" w:firstLineChars="0"/>
              <w:rPr>
                <w:rFonts w:hint="eastAsia" w:ascii="Times New Roman" w:hAnsi="Times New Roman" w:eastAsia="宋体" w:cs="Times New Roman"/>
                <w:kern w:val="44"/>
                <w:sz w:val="21"/>
                <w:szCs w:val="21"/>
                <w:lang w:val="en-US" w:eastAsia="zh-CN" w:bidi="ar-SA"/>
              </w:rPr>
            </w:pPr>
            <w:r>
              <w:rPr>
                <w:rFonts w:hint="eastAsia"/>
              </w:rPr>
              <w:t>2</w:t>
            </w:r>
            <w:r>
              <w:rPr>
                <w:rFonts w:hint="eastAsia"/>
                <w:lang w:val="en-US" w:eastAsia="zh-CN"/>
              </w:rPr>
              <w:t>8</w:t>
            </w:r>
            <w:r>
              <w:rPr>
                <w:rFonts w:hint="eastAsia"/>
              </w:rPr>
              <w:t>00kVA</w:t>
            </w:r>
          </w:p>
        </w:tc>
        <w:tc>
          <w:tcPr>
            <w:tcW w:w="416" w:type="pct"/>
            <w:noWrap w:val="0"/>
            <w:vAlign w:val="center"/>
          </w:tcPr>
          <w:p>
            <w:pPr>
              <w:pStyle w:val="372"/>
              <w:suppressLineNumbers w:val="0"/>
              <w:spacing w:before="0" w:beforeAutospacing="0" w:after="0" w:afterAutospacing="0"/>
              <w:ind w:left="0" w:right="0" w:firstLine="0" w:firstLineChars="0"/>
              <w:rPr>
                <w:rFonts w:hint="default" w:ascii="Times New Roman" w:hAnsi="Times New Roman" w:eastAsia="宋体" w:cs="Times New Roman"/>
                <w:kern w:val="44"/>
                <w:sz w:val="21"/>
                <w:szCs w:val="21"/>
                <w:lang w:val="en-US" w:eastAsia="zh-CN" w:bidi="ar-SA"/>
              </w:rPr>
            </w:pPr>
            <w:r>
              <w:rPr>
                <w:rFonts w:hint="default"/>
              </w:rPr>
              <w:t>台</w:t>
            </w:r>
          </w:p>
        </w:tc>
        <w:tc>
          <w:tcPr>
            <w:tcW w:w="513" w:type="pct"/>
            <w:noWrap w:val="0"/>
            <w:vAlign w:val="center"/>
          </w:tcPr>
          <w:p>
            <w:pPr>
              <w:pStyle w:val="372"/>
              <w:suppressLineNumbers w:val="0"/>
              <w:spacing w:before="0" w:beforeAutospacing="0" w:after="0" w:afterAutospacing="0"/>
              <w:ind w:left="0" w:right="0" w:firstLine="0" w:firstLineChars="0"/>
              <w:rPr>
                <w:rFonts w:hint="eastAsia" w:ascii="Times New Roman" w:hAnsi="Times New Roman" w:eastAsia="宋体" w:cs="Times New Roman"/>
                <w:kern w:val="44"/>
                <w:sz w:val="21"/>
                <w:szCs w:val="21"/>
                <w:lang w:val="en-US" w:eastAsia="zh-CN" w:bidi="ar-SA"/>
              </w:rPr>
            </w:pPr>
            <w:r>
              <w:rPr>
                <w:rFonts w:hint="eastAsia"/>
                <w:lang w:val="en-US" w:eastAsia="zh-CN"/>
              </w:rPr>
              <w:t>2</w:t>
            </w:r>
          </w:p>
        </w:tc>
        <w:tc>
          <w:tcPr>
            <w:tcW w:w="1960" w:type="pct"/>
            <w:vMerge w:val="continue"/>
            <w:noWrap w:val="0"/>
            <w:vAlign w:val="center"/>
          </w:tcPr>
          <w:p>
            <w:pPr>
              <w:pStyle w:val="372"/>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noWrap w:val="0"/>
            <w:vAlign w:val="center"/>
          </w:tcPr>
          <w:p>
            <w:pPr>
              <w:pStyle w:val="372"/>
              <w:suppressLineNumbers w:val="0"/>
              <w:spacing w:before="0" w:beforeAutospacing="0" w:after="0" w:afterAutospacing="0"/>
              <w:ind w:left="0" w:right="0" w:firstLine="0" w:firstLineChars="0"/>
              <w:rPr>
                <w:rFonts w:hint="eastAsia" w:ascii="Times New Roman" w:hAnsi="Times New Roman" w:eastAsia="宋体" w:cs="Times New Roman"/>
                <w:kern w:val="44"/>
                <w:sz w:val="21"/>
                <w:szCs w:val="21"/>
                <w:lang w:val="en-US" w:eastAsia="zh-CN" w:bidi="ar-SA"/>
              </w:rPr>
            </w:pPr>
            <w:r>
              <w:rPr>
                <w:rFonts w:hint="eastAsia"/>
                <w:lang w:val="en-US" w:eastAsia="zh-CN"/>
              </w:rPr>
              <w:t>3</w:t>
            </w:r>
          </w:p>
        </w:tc>
        <w:tc>
          <w:tcPr>
            <w:tcW w:w="877" w:type="pct"/>
            <w:noWrap w:val="0"/>
            <w:vAlign w:val="center"/>
          </w:tcPr>
          <w:p>
            <w:pPr>
              <w:pStyle w:val="372"/>
              <w:suppressLineNumbers w:val="0"/>
              <w:spacing w:before="0" w:beforeAutospacing="0" w:after="0" w:afterAutospacing="0"/>
              <w:ind w:left="0" w:right="0" w:firstLine="0" w:firstLineChars="0"/>
              <w:rPr>
                <w:rFonts w:hint="default" w:ascii="Times New Roman" w:hAnsi="Times New Roman" w:eastAsia="宋体" w:cs="Times New Roman"/>
                <w:kern w:val="44"/>
                <w:sz w:val="21"/>
                <w:szCs w:val="21"/>
                <w:lang w:val="en-US" w:eastAsia="zh-CN" w:bidi="ar-SA"/>
              </w:rPr>
            </w:pPr>
            <w:r>
              <w:rPr>
                <w:rFonts w:hint="default"/>
              </w:rPr>
              <w:t>10kV箱式变压器</w:t>
            </w:r>
          </w:p>
        </w:tc>
        <w:tc>
          <w:tcPr>
            <w:tcW w:w="849" w:type="pct"/>
            <w:noWrap w:val="0"/>
            <w:vAlign w:val="center"/>
          </w:tcPr>
          <w:p>
            <w:pPr>
              <w:pStyle w:val="372"/>
              <w:suppressLineNumbers w:val="0"/>
              <w:spacing w:before="0" w:beforeAutospacing="0" w:after="0" w:afterAutospacing="0"/>
              <w:ind w:left="0" w:right="0" w:firstLine="0" w:firstLineChars="0"/>
              <w:rPr>
                <w:rFonts w:hint="eastAsia" w:ascii="Times New Roman" w:hAnsi="Times New Roman" w:eastAsia="宋体" w:cs="Times New Roman"/>
                <w:kern w:val="44"/>
                <w:sz w:val="21"/>
                <w:szCs w:val="21"/>
                <w:lang w:val="en-US" w:eastAsia="zh-CN" w:bidi="ar-SA"/>
              </w:rPr>
            </w:pPr>
            <w:r>
              <w:rPr>
                <w:rFonts w:hint="eastAsia"/>
                <w:lang w:val="en-US" w:eastAsia="zh-CN"/>
              </w:rPr>
              <w:t>34</w:t>
            </w:r>
            <w:r>
              <w:rPr>
                <w:rFonts w:hint="eastAsia"/>
              </w:rPr>
              <w:t>00kVA</w:t>
            </w:r>
          </w:p>
        </w:tc>
        <w:tc>
          <w:tcPr>
            <w:tcW w:w="416" w:type="pct"/>
            <w:noWrap w:val="0"/>
            <w:vAlign w:val="center"/>
          </w:tcPr>
          <w:p>
            <w:pPr>
              <w:pStyle w:val="372"/>
              <w:suppressLineNumbers w:val="0"/>
              <w:spacing w:before="0" w:beforeAutospacing="0" w:after="0" w:afterAutospacing="0"/>
              <w:ind w:left="0" w:right="0" w:firstLine="0" w:firstLineChars="0"/>
              <w:rPr>
                <w:rFonts w:hint="default" w:ascii="Times New Roman" w:hAnsi="Times New Roman" w:eastAsia="宋体" w:cs="Times New Roman"/>
                <w:kern w:val="44"/>
                <w:sz w:val="21"/>
                <w:szCs w:val="21"/>
                <w:lang w:val="en-US" w:eastAsia="zh-CN" w:bidi="ar-SA"/>
              </w:rPr>
            </w:pPr>
            <w:r>
              <w:rPr>
                <w:rFonts w:hint="default"/>
              </w:rPr>
              <w:t>台</w:t>
            </w:r>
          </w:p>
        </w:tc>
        <w:tc>
          <w:tcPr>
            <w:tcW w:w="513" w:type="pct"/>
            <w:noWrap w:val="0"/>
            <w:vAlign w:val="center"/>
          </w:tcPr>
          <w:p>
            <w:pPr>
              <w:pStyle w:val="372"/>
              <w:suppressLineNumbers w:val="0"/>
              <w:spacing w:before="0" w:beforeAutospacing="0" w:after="0" w:afterAutospacing="0"/>
              <w:ind w:left="0" w:right="0" w:firstLine="0" w:firstLineChars="0"/>
              <w:rPr>
                <w:rFonts w:hint="eastAsia" w:ascii="Times New Roman" w:hAnsi="Times New Roman" w:eastAsia="宋体" w:cs="Times New Roman"/>
                <w:kern w:val="44"/>
                <w:sz w:val="21"/>
                <w:szCs w:val="21"/>
                <w:lang w:val="en-US" w:eastAsia="zh-CN" w:bidi="ar-SA"/>
              </w:rPr>
            </w:pPr>
            <w:r>
              <w:rPr>
                <w:rFonts w:hint="eastAsia"/>
                <w:lang w:val="en-US" w:eastAsia="zh-CN"/>
              </w:rPr>
              <w:t>2</w:t>
            </w:r>
          </w:p>
        </w:tc>
        <w:tc>
          <w:tcPr>
            <w:tcW w:w="1960" w:type="pct"/>
            <w:vMerge w:val="continue"/>
            <w:noWrap w:val="0"/>
            <w:vAlign w:val="center"/>
          </w:tcPr>
          <w:p>
            <w:pPr>
              <w:pStyle w:val="372"/>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 w:type="pct"/>
            <w:noWrap w:val="0"/>
            <w:vAlign w:val="center"/>
          </w:tcPr>
          <w:p>
            <w:pPr>
              <w:pStyle w:val="372"/>
              <w:suppressLineNumbers w:val="0"/>
              <w:spacing w:before="0" w:beforeAutospacing="0" w:after="0" w:afterAutospacing="0"/>
              <w:ind w:left="0" w:right="0"/>
              <w:rPr>
                <w:rFonts w:hint="eastAsia" w:eastAsia="宋体"/>
                <w:lang w:eastAsia="zh-CN"/>
              </w:rPr>
            </w:pPr>
            <w:r>
              <w:rPr>
                <w:rFonts w:hint="eastAsia"/>
                <w:lang w:val="en-US" w:eastAsia="zh-CN"/>
              </w:rPr>
              <w:t>4</w:t>
            </w:r>
          </w:p>
        </w:tc>
        <w:tc>
          <w:tcPr>
            <w:tcW w:w="877" w:type="pct"/>
            <w:noWrap w:val="0"/>
            <w:vAlign w:val="center"/>
          </w:tcPr>
          <w:p>
            <w:pPr>
              <w:pStyle w:val="372"/>
              <w:suppressLineNumbers w:val="0"/>
              <w:spacing w:before="0" w:beforeAutospacing="0" w:after="0" w:afterAutospacing="0"/>
              <w:ind w:left="0" w:right="0"/>
              <w:rPr>
                <w:rFonts w:hint="default"/>
              </w:rPr>
            </w:pPr>
            <w:r>
              <w:rPr>
                <w:rFonts w:hint="default"/>
              </w:rPr>
              <w:t>箱变智能</w:t>
            </w:r>
            <w:r>
              <w:rPr>
                <w:rFonts w:hint="eastAsia"/>
              </w:rPr>
              <w:t>保护</w:t>
            </w:r>
            <w:r>
              <w:rPr>
                <w:rFonts w:hint="default"/>
              </w:rPr>
              <w:t>测控装置</w:t>
            </w:r>
          </w:p>
        </w:tc>
        <w:tc>
          <w:tcPr>
            <w:tcW w:w="849" w:type="pct"/>
            <w:noWrap w:val="0"/>
            <w:vAlign w:val="center"/>
          </w:tcPr>
          <w:p>
            <w:pPr>
              <w:pStyle w:val="372"/>
              <w:suppressLineNumbers w:val="0"/>
              <w:spacing w:before="0" w:beforeAutospacing="0" w:after="0" w:afterAutospacing="0"/>
              <w:ind w:left="0" w:right="0"/>
              <w:rPr>
                <w:rFonts w:hint="default" w:eastAsia="宋体"/>
                <w:lang w:val="en-US" w:eastAsia="zh-CN"/>
              </w:rPr>
            </w:pPr>
            <w:r>
              <w:rPr>
                <w:rFonts w:hint="eastAsia"/>
              </w:rPr>
              <w:t>保护</w:t>
            </w:r>
            <w:r>
              <w:rPr>
                <w:rFonts w:hint="default"/>
              </w:rPr>
              <w:t>测控</w:t>
            </w:r>
            <w:r>
              <w:rPr>
                <w:rFonts w:hint="eastAsia"/>
                <w:lang w:val="en-US" w:eastAsia="zh-CN"/>
              </w:rPr>
              <w:t>一体化装置</w:t>
            </w:r>
          </w:p>
        </w:tc>
        <w:tc>
          <w:tcPr>
            <w:tcW w:w="416" w:type="pct"/>
            <w:noWrap w:val="0"/>
            <w:vAlign w:val="center"/>
          </w:tcPr>
          <w:p>
            <w:pPr>
              <w:pStyle w:val="372"/>
              <w:suppressLineNumbers w:val="0"/>
              <w:spacing w:before="0" w:beforeAutospacing="0" w:after="0" w:afterAutospacing="0"/>
              <w:ind w:left="0" w:right="0"/>
              <w:rPr>
                <w:rFonts w:hint="default"/>
              </w:rPr>
            </w:pPr>
            <w:r>
              <w:rPr>
                <w:rFonts w:hint="default"/>
              </w:rPr>
              <w:t>台</w:t>
            </w:r>
          </w:p>
        </w:tc>
        <w:tc>
          <w:tcPr>
            <w:tcW w:w="513" w:type="pct"/>
            <w:noWrap w:val="0"/>
            <w:vAlign w:val="center"/>
          </w:tcPr>
          <w:p>
            <w:pPr>
              <w:pStyle w:val="372"/>
              <w:suppressLineNumbers w:val="0"/>
              <w:spacing w:before="0" w:beforeAutospacing="0" w:after="0" w:afterAutospacing="0"/>
              <w:ind w:left="0" w:right="0"/>
              <w:rPr>
                <w:rFonts w:hint="eastAsia" w:eastAsia="宋体"/>
                <w:lang w:eastAsia="zh-CN"/>
              </w:rPr>
            </w:pPr>
            <w:r>
              <w:rPr>
                <w:rFonts w:hint="eastAsia"/>
                <w:lang w:val="en-US" w:eastAsia="zh-CN"/>
              </w:rPr>
              <w:t>6</w:t>
            </w:r>
          </w:p>
        </w:tc>
        <w:tc>
          <w:tcPr>
            <w:tcW w:w="1960" w:type="pct"/>
            <w:noWrap w:val="0"/>
            <w:vAlign w:val="center"/>
          </w:tcPr>
          <w:p>
            <w:pPr>
              <w:pStyle w:val="372"/>
              <w:suppressLineNumbers w:val="0"/>
              <w:spacing w:before="0" w:beforeAutospacing="0" w:after="0" w:afterAutospacing="0"/>
              <w:ind w:left="0" w:right="0"/>
              <w:rPr>
                <w:rFonts w:hint="default"/>
              </w:rPr>
            </w:pPr>
            <w:r>
              <w:rPr>
                <w:rFonts w:hint="default"/>
              </w:rPr>
              <w:t>具备光纤环网功能，含光纤终端盒、尾纤等</w:t>
            </w:r>
            <w:r>
              <w:rPr>
                <w:rFonts w:hint="eastAsia"/>
              </w:rPr>
              <w:t>，不限于此</w:t>
            </w:r>
            <w:r>
              <w:rPr>
                <w:rFonts w:hint="default"/>
              </w:rPr>
              <w:t>附件</w:t>
            </w:r>
          </w:p>
        </w:tc>
      </w:tr>
      <w:bookmarkEnd w:id="284"/>
    </w:tbl>
    <w:p>
      <w:pPr>
        <w:spacing w:line="360" w:lineRule="auto"/>
        <w:jc w:val="left"/>
        <w:rPr>
          <w:rFonts w:hint="eastAsia" w:ascii="宋体" w:hAnsi="宋体" w:eastAsia="宋体" w:cs="宋体"/>
          <w:sz w:val="24"/>
          <w:szCs w:val="24"/>
        </w:rPr>
      </w:pPr>
      <w:r>
        <w:rPr>
          <w:rFonts w:hint="eastAsia" w:ascii="宋体" w:hAnsi="宋体" w:eastAsia="宋体" w:cs="宋体"/>
          <w:sz w:val="24"/>
          <w:szCs w:val="24"/>
        </w:rPr>
        <w:t>下列供货范围以最终实际需求为准。</w:t>
      </w:r>
    </w:p>
    <w:p>
      <w:pPr>
        <w:snapToGrid w:val="0"/>
        <w:spacing w:line="360" w:lineRule="auto"/>
        <w:jc w:val="center"/>
        <w:rPr>
          <w:rFonts w:hint="eastAsia" w:ascii="宋体" w:hAnsi="宋体" w:eastAsia="宋体" w:cs="宋体"/>
          <w:kern w:val="28"/>
          <w:sz w:val="24"/>
          <w:szCs w:val="24"/>
        </w:rPr>
      </w:pPr>
      <w:r>
        <w:rPr>
          <w:rFonts w:hint="eastAsia" w:ascii="宋体" w:hAnsi="宋体" w:eastAsia="宋体" w:cs="宋体"/>
          <w:kern w:val="28"/>
          <w:sz w:val="24"/>
          <w:szCs w:val="24"/>
        </w:rPr>
        <w:t>表3-</w:t>
      </w:r>
      <w:r>
        <w:rPr>
          <w:rFonts w:hint="eastAsia" w:ascii="宋体" w:hAnsi="宋体" w:eastAsia="宋体" w:cs="宋体"/>
          <w:kern w:val="28"/>
          <w:sz w:val="24"/>
          <w:szCs w:val="24"/>
          <w:lang w:val="en-US" w:eastAsia="zh-CN"/>
        </w:rPr>
        <w:t>2</w:t>
      </w:r>
      <w:r>
        <w:rPr>
          <w:rFonts w:hint="eastAsia" w:ascii="宋体" w:hAnsi="宋体" w:eastAsia="宋体" w:cs="宋体"/>
          <w:kern w:val="28"/>
          <w:sz w:val="24"/>
          <w:szCs w:val="24"/>
        </w:rPr>
        <w:t xml:space="preserve">   货物需求及供货范围一览表</w:t>
      </w:r>
    </w:p>
    <w:tbl>
      <w:tblPr>
        <w:tblStyle w:val="76"/>
        <w:tblW w:w="988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16"/>
        <w:gridCol w:w="1673"/>
        <w:gridCol w:w="427"/>
        <w:gridCol w:w="920"/>
        <w:gridCol w:w="481"/>
        <w:gridCol w:w="637"/>
        <w:gridCol w:w="1764"/>
        <w:gridCol w:w="481"/>
        <w:gridCol w:w="2298"/>
        <w:gridCol w:w="6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516" w:type="dxa"/>
            <w:vMerge w:val="restar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序号</w:t>
            </w:r>
          </w:p>
        </w:tc>
        <w:tc>
          <w:tcPr>
            <w:tcW w:w="1673" w:type="dxa"/>
            <w:vMerge w:val="restar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名称</w:t>
            </w:r>
          </w:p>
        </w:tc>
        <w:tc>
          <w:tcPr>
            <w:tcW w:w="427" w:type="dxa"/>
            <w:vMerge w:val="restar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单位</w:t>
            </w:r>
          </w:p>
        </w:tc>
        <w:tc>
          <w:tcPr>
            <w:tcW w:w="2038" w:type="dxa"/>
            <w:gridSpan w:val="3"/>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发包方要求</w:t>
            </w:r>
          </w:p>
        </w:tc>
        <w:tc>
          <w:tcPr>
            <w:tcW w:w="5235" w:type="dxa"/>
            <w:gridSpan w:val="4"/>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卖方响应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516" w:type="dxa"/>
            <w:vMerge w:val="continue"/>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p>
        </w:tc>
        <w:tc>
          <w:tcPr>
            <w:tcW w:w="1673" w:type="dxa"/>
            <w:vMerge w:val="continue"/>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b/>
              </w:rPr>
            </w:pPr>
          </w:p>
        </w:tc>
        <w:tc>
          <w:tcPr>
            <w:tcW w:w="427" w:type="dxa"/>
            <w:vMerge w:val="continue"/>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型式、规格</w:t>
            </w: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数量</w:t>
            </w:r>
          </w:p>
        </w:tc>
        <w:tc>
          <w:tcPr>
            <w:tcW w:w="63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备注</w:t>
            </w: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型式、规格</w:t>
            </w: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数量</w:t>
            </w: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厂家</w:t>
            </w:r>
          </w:p>
        </w:tc>
        <w:tc>
          <w:tcPr>
            <w:tcW w:w="692"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产地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一</w:t>
            </w:r>
          </w:p>
        </w:tc>
        <w:tc>
          <w:tcPr>
            <w:tcW w:w="9373" w:type="dxa"/>
            <w:gridSpan w:val="9"/>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b/>
              </w:rPr>
            </w:pPr>
            <w:r>
              <w:rPr>
                <w:rFonts w:hint="eastAsia" w:ascii="宋体" w:hAnsi="宋体" w:eastAsia="宋体" w:cs="宋体"/>
                <w:b/>
              </w:rPr>
              <w:t>箱式变电站的高压部分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lang w:eastAsia="zh-CN"/>
              </w:rPr>
            </w:pPr>
            <w:r>
              <w:rPr>
                <w:rFonts w:hint="eastAsia" w:ascii="宋体" w:hAnsi="宋体" w:cs="宋体"/>
                <w:lang w:val="en-US" w:eastAsia="zh-CN"/>
              </w:rPr>
              <w:t>10</w:t>
            </w:r>
            <w:r>
              <w:rPr>
                <w:rFonts w:hint="eastAsia" w:ascii="宋体" w:hAnsi="宋体" w:eastAsia="宋体" w:cs="宋体"/>
              </w:rPr>
              <w:t>kV</w:t>
            </w:r>
            <w:r>
              <w:rPr>
                <w:rFonts w:hint="eastAsia" w:ascii="宋体" w:hAnsi="宋体" w:cs="宋体"/>
                <w:szCs w:val="21"/>
                <w:lang w:val="en-US" w:eastAsia="zh-CN"/>
              </w:rPr>
              <w:t>断路器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2</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cs="宋体"/>
                <w:lang w:val="en-US" w:eastAsia="zh-CN"/>
              </w:rPr>
              <w:t>10</w:t>
            </w:r>
            <w:r>
              <w:rPr>
                <w:rFonts w:hint="eastAsia" w:ascii="宋体" w:hAnsi="宋体" w:eastAsia="宋体" w:cs="宋体"/>
              </w:rPr>
              <w:t>kV接地开关</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firstLine="210" w:firstLineChars="100"/>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3</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cs="宋体"/>
                <w:lang w:val="en-US" w:eastAsia="zh-CN"/>
              </w:rPr>
              <w:t>10</w:t>
            </w:r>
            <w:r>
              <w:rPr>
                <w:rFonts w:hint="eastAsia" w:ascii="宋体" w:hAnsi="宋体" w:eastAsia="宋体" w:cs="宋体"/>
              </w:rPr>
              <w:t>kV隔离开关</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2</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4</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cs="宋体"/>
                <w:lang w:val="en-US" w:eastAsia="zh-CN"/>
              </w:rPr>
              <w:t>10</w:t>
            </w:r>
            <w:r>
              <w:rPr>
                <w:rFonts w:hint="eastAsia" w:ascii="宋体" w:hAnsi="宋体" w:eastAsia="宋体" w:cs="宋体"/>
              </w:rPr>
              <w:t>kV避雷器（附放电计数器）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5</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eastAsia="宋体" w:cs="宋体"/>
              </w:rPr>
              <w:t>带电显示器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lang w:val="en-US" w:eastAsia="zh-CN"/>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6</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eastAsia="宋体" w:cs="宋体"/>
              </w:rPr>
              <w:t>电磁锁</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7</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eastAsia="宋体" w:cs="宋体"/>
              </w:rPr>
              <w:t>照明装置</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10</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eastAsia="宋体" w:cs="宋体"/>
              </w:rPr>
              <w:t>母排</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11</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eastAsia="宋体" w:cs="宋体"/>
              </w:rPr>
              <w:t>辅材</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12</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kern w:val="2"/>
                <w:sz w:val="21"/>
                <w:szCs w:val="21"/>
                <w:lang w:val="en-US" w:eastAsia="zh-CN" w:bidi="ar-SA"/>
              </w:rPr>
            </w:pPr>
            <w:r>
              <w:rPr>
                <w:rFonts w:hint="eastAsia" w:ascii="宋体" w:hAnsi="宋体" w:eastAsia="宋体" w:cs="宋体"/>
              </w:rPr>
              <w:t>壳体</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二</w:t>
            </w:r>
          </w:p>
        </w:tc>
        <w:tc>
          <w:tcPr>
            <w:tcW w:w="9373" w:type="dxa"/>
            <w:gridSpan w:val="9"/>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b/>
              </w:rPr>
            </w:pPr>
            <w:r>
              <w:rPr>
                <w:rFonts w:hint="eastAsia" w:ascii="宋体" w:hAnsi="宋体" w:eastAsia="宋体" w:cs="宋体"/>
                <w:b/>
              </w:rPr>
              <w:t>箱式变电站的低压部分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框架断路器（带接地保护）</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台</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含智能控制器</w:t>
            </w: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2</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lang w:eastAsia="zh-CN"/>
              </w:rPr>
            </w:pPr>
            <w:r>
              <w:rPr>
                <w:rFonts w:hint="eastAsia" w:ascii="宋体" w:hAnsi="宋体" w:eastAsia="宋体" w:cs="宋体"/>
              </w:rPr>
              <w:t>照明检修变压器</w:t>
            </w:r>
            <w:r>
              <w:rPr>
                <w:rFonts w:hint="eastAsia" w:ascii="宋体" w:hAnsi="宋体" w:eastAsia="宋体" w:cs="宋体"/>
                <w:lang w:val="en-US" w:eastAsia="zh-CN"/>
              </w:rPr>
              <w:t>10</w:t>
            </w:r>
            <w:r>
              <w:rPr>
                <w:rFonts w:hint="eastAsia" w:ascii="宋体" w:hAnsi="宋体" w:eastAsia="宋体" w:cs="宋体"/>
                <w:lang w:eastAsia="zh-CN"/>
              </w:rPr>
              <w:t>kVA</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台</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3</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lang w:val="en-US" w:eastAsia="zh-CN"/>
              </w:rPr>
              <w:t>塑壳</w:t>
            </w:r>
            <w:r>
              <w:rPr>
                <w:rFonts w:hint="eastAsia" w:ascii="宋体" w:hAnsi="宋体" w:eastAsia="宋体" w:cs="宋体"/>
              </w:rPr>
              <w:t>断路器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lang w:val="en-US" w:eastAsia="zh-CN"/>
              </w:rPr>
            </w:pPr>
            <w:r>
              <w:rPr>
                <w:rFonts w:hint="eastAsia" w:ascii="宋体" w:hAnsi="宋体" w:eastAsia="宋体" w:cs="宋体"/>
                <w:lang w:val="en-US" w:eastAsia="zh-CN"/>
              </w:rPr>
              <w:t>14</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4</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温湿度控制器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5</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温控器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6</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电流互感器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8</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电压表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9</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电流表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10</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指示灯</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12</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低压浪涌</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13</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冷却风扇</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15</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照明装置</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16</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母排</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92" w:type="dxa"/>
          </w:tcPr>
          <w:p>
            <w:pPr>
              <w:keepNext w:val="0"/>
              <w:keepLines w:val="0"/>
              <w:suppressLineNumbers w:val="0"/>
              <w:spacing w:before="0" w:beforeAutospacing="0" w:after="0" w:afterAutospacing="0"/>
              <w:ind w:left="0" w:right="0"/>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17</w:t>
            </w:r>
          </w:p>
        </w:tc>
        <w:tc>
          <w:tcPr>
            <w:tcW w:w="1673"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UPS</w:t>
            </w:r>
          </w:p>
        </w:tc>
        <w:tc>
          <w:tcPr>
            <w:tcW w:w="427"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firstLine="840" w:firstLineChars="400"/>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17</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辅材</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92" w:type="dxa"/>
          </w:tcPr>
          <w:p>
            <w:pPr>
              <w:keepNext w:val="0"/>
              <w:keepLines w:val="0"/>
              <w:suppressLineNumbers w:val="0"/>
              <w:spacing w:before="0" w:beforeAutospacing="0" w:after="0" w:afterAutospacing="0"/>
              <w:ind w:left="0" w:right="0"/>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18</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壳体</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三</w:t>
            </w:r>
          </w:p>
        </w:tc>
        <w:tc>
          <w:tcPr>
            <w:tcW w:w="9373" w:type="dxa"/>
            <w:gridSpan w:val="9"/>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b/>
              </w:rPr>
            </w:pPr>
            <w:r>
              <w:rPr>
                <w:rFonts w:hint="eastAsia" w:ascii="宋体" w:hAnsi="宋体" w:eastAsia="宋体" w:cs="宋体"/>
                <w:b/>
              </w:rPr>
              <w:t>箱式变电站的变压器本体部分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变压器</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台</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2</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硅钢片</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3</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绕组铜线</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4</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绝缘材料</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四</w:t>
            </w:r>
          </w:p>
        </w:tc>
        <w:tc>
          <w:tcPr>
            <w:tcW w:w="9373" w:type="dxa"/>
            <w:gridSpan w:val="9"/>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b/>
              </w:rPr>
            </w:pPr>
            <w:r>
              <w:rPr>
                <w:rFonts w:hint="eastAsia" w:ascii="宋体" w:hAnsi="宋体" w:eastAsia="宋体" w:cs="宋体"/>
                <w:b/>
              </w:rPr>
              <w:t>箱式变电站的壳体部分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外壳</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2</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变压器箱底槽钢</w:t>
            </w:r>
          </w:p>
        </w:tc>
        <w:tc>
          <w:tcPr>
            <w:tcW w:w="427"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3</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吊装、装配用专用吊具、工具</w:t>
            </w:r>
          </w:p>
        </w:tc>
        <w:tc>
          <w:tcPr>
            <w:tcW w:w="427" w:type="dxa"/>
          </w:tcPr>
          <w:p>
            <w:pPr>
              <w:keepNext w:val="0"/>
              <w:keepLines w:val="0"/>
              <w:suppressLineNumbers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五</w:t>
            </w:r>
          </w:p>
        </w:tc>
        <w:tc>
          <w:tcPr>
            <w:tcW w:w="9373" w:type="dxa"/>
            <w:gridSpan w:val="9"/>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b/>
              </w:rPr>
            </w:pPr>
            <w:r>
              <w:rPr>
                <w:rFonts w:hint="eastAsia" w:ascii="宋体" w:hAnsi="宋体" w:eastAsia="宋体" w:cs="宋体"/>
                <w:b/>
              </w:rPr>
              <w:t>箱式变电站监控与保护设备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89" w:type="dxa"/>
            <w:gridSpan w:val="10"/>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b/>
              </w:rPr>
            </w:pPr>
            <w:r>
              <w:rPr>
                <w:rFonts w:hint="eastAsia" w:ascii="宋体" w:hAnsi="宋体" w:eastAsia="宋体" w:cs="宋体"/>
              </w:rPr>
              <w:t>独立组网 （见附表2-3设备清单）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1673"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箱变测控装置</w:t>
            </w:r>
          </w:p>
        </w:tc>
        <w:tc>
          <w:tcPr>
            <w:tcW w:w="427"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Merge w:val="restart"/>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2</w:t>
            </w:r>
          </w:p>
        </w:tc>
        <w:tc>
          <w:tcPr>
            <w:tcW w:w="1673"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光纤盒</w:t>
            </w:r>
            <w:r>
              <w:rPr>
                <w:rFonts w:hint="eastAsia" w:ascii="宋体" w:hAnsi="宋体" w:eastAsia="宋体" w:cs="宋体"/>
                <w:kern w:val="0"/>
              </w:rPr>
              <w:t>，尾纤满配</w:t>
            </w:r>
          </w:p>
        </w:tc>
        <w:tc>
          <w:tcPr>
            <w:tcW w:w="427"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Merge w:val="continue"/>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3</w:t>
            </w:r>
          </w:p>
        </w:tc>
        <w:tc>
          <w:tcPr>
            <w:tcW w:w="1673"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光纤环网交换机</w:t>
            </w:r>
          </w:p>
        </w:tc>
        <w:tc>
          <w:tcPr>
            <w:tcW w:w="427"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台</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Merge w:val="continue"/>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4</w:t>
            </w:r>
          </w:p>
        </w:tc>
        <w:tc>
          <w:tcPr>
            <w:tcW w:w="1673" w:type="dxa"/>
            <w:vAlign w:val="center"/>
          </w:tcPr>
          <w:p>
            <w:pPr>
              <w:keepNext w:val="0"/>
              <w:keepLines w:val="0"/>
              <w:suppressLineNumbers w:val="0"/>
              <w:spacing w:before="0" w:beforeAutospacing="0" w:after="0" w:afterAutospacing="0"/>
              <w:ind w:left="0" w:right="0"/>
              <w:rPr>
                <w:rFonts w:hint="eastAsia" w:ascii="宋体" w:hAnsi="宋体" w:eastAsia="宋体" w:cs="宋体"/>
              </w:rPr>
            </w:pPr>
            <w:r>
              <w:rPr>
                <w:rFonts w:hint="eastAsia" w:ascii="宋体" w:hAnsi="宋体" w:eastAsia="宋体" w:cs="宋体"/>
              </w:rPr>
              <w:t>通讯线缆</w:t>
            </w:r>
          </w:p>
        </w:tc>
        <w:tc>
          <w:tcPr>
            <w:tcW w:w="427"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套</w:t>
            </w: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vMerge w:val="continue"/>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六</w:t>
            </w:r>
          </w:p>
        </w:tc>
        <w:tc>
          <w:tcPr>
            <w:tcW w:w="9373" w:type="dxa"/>
            <w:gridSpan w:val="9"/>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b/>
              </w:rPr>
            </w:pPr>
            <w:r>
              <w:rPr>
                <w:rFonts w:hint="eastAsia" w:ascii="宋体" w:hAnsi="宋体" w:eastAsia="宋体" w:cs="宋体"/>
                <w:b/>
              </w:rPr>
              <w:t>其他未列入的组部件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16"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1</w:t>
            </w:r>
          </w:p>
        </w:tc>
        <w:tc>
          <w:tcPr>
            <w:tcW w:w="1673" w:type="dxa"/>
            <w:vAlign w:val="center"/>
          </w:tcPr>
          <w:p>
            <w:pPr>
              <w:keepNext w:val="0"/>
              <w:keepLines w:val="0"/>
              <w:suppressLineNumbers w:val="0"/>
              <w:adjustRightInd w:val="0"/>
              <w:snapToGrid w:val="0"/>
              <w:spacing w:before="0" w:beforeAutospacing="0" w:after="0" w:afterAutospacing="0" w:line="240" w:lineRule="exact"/>
              <w:ind w:left="0" w:right="0"/>
              <w:jc w:val="left"/>
              <w:rPr>
                <w:rFonts w:hint="eastAsia" w:ascii="宋体" w:hAnsi="宋体" w:eastAsia="宋体" w:cs="宋体"/>
              </w:rPr>
            </w:pPr>
            <w:r>
              <w:rPr>
                <w:rFonts w:hint="eastAsia" w:ascii="宋体" w:hAnsi="宋体" w:eastAsia="宋体" w:cs="宋体"/>
              </w:rPr>
              <w:t>无</w:t>
            </w:r>
          </w:p>
        </w:tc>
        <w:tc>
          <w:tcPr>
            <w:tcW w:w="427" w:type="dxa"/>
          </w:tcPr>
          <w:p>
            <w:pPr>
              <w:keepNext w:val="0"/>
              <w:keepLines w:val="0"/>
              <w:suppressLineNumbers w:val="0"/>
              <w:spacing w:before="0" w:beforeAutospacing="0" w:after="0" w:afterAutospacing="0" w:line="240" w:lineRule="exact"/>
              <w:ind w:left="0" w:right="0"/>
              <w:rPr>
                <w:rFonts w:hint="eastAsia" w:ascii="宋体" w:hAnsi="宋体" w:eastAsia="宋体" w:cs="宋体"/>
              </w:rPr>
            </w:pPr>
          </w:p>
        </w:tc>
        <w:tc>
          <w:tcPr>
            <w:tcW w:w="92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w:t>
            </w: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637"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1764"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w:t>
            </w:r>
          </w:p>
        </w:tc>
        <w:tc>
          <w:tcPr>
            <w:tcW w:w="48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298"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r>
              <w:rPr>
                <w:rFonts w:hint="eastAsia" w:ascii="宋体" w:hAnsi="宋体" w:eastAsia="宋体" w:cs="宋体"/>
              </w:rPr>
              <w:t>/</w:t>
            </w:r>
          </w:p>
        </w:tc>
        <w:tc>
          <w:tcPr>
            <w:tcW w:w="692" w:type="dxa"/>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bl>
    <w:p>
      <w:pPr>
        <w:snapToGrid w:val="0"/>
        <w:spacing w:line="360" w:lineRule="auto"/>
        <w:jc w:val="center"/>
        <w:rPr>
          <w:rFonts w:hint="eastAsia" w:ascii="宋体" w:hAnsi="宋体" w:eastAsia="宋体" w:cs="宋体"/>
          <w:kern w:val="28"/>
          <w:sz w:val="24"/>
          <w:szCs w:val="24"/>
        </w:rPr>
      </w:pPr>
      <w:r>
        <w:rPr>
          <w:rFonts w:hint="eastAsia" w:ascii="宋体" w:hAnsi="宋体" w:eastAsia="宋体" w:cs="宋体"/>
          <w:kern w:val="28"/>
          <w:sz w:val="24"/>
          <w:szCs w:val="24"/>
        </w:rPr>
        <w:t>表3-</w:t>
      </w:r>
      <w:r>
        <w:rPr>
          <w:rFonts w:hint="eastAsia" w:ascii="宋体" w:hAnsi="宋体" w:eastAsia="宋体" w:cs="宋体"/>
          <w:kern w:val="28"/>
          <w:sz w:val="24"/>
          <w:szCs w:val="24"/>
          <w:lang w:val="en-US" w:eastAsia="zh-CN"/>
        </w:rPr>
        <w:t>3</w:t>
      </w:r>
      <w:r>
        <w:rPr>
          <w:rFonts w:hint="eastAsia" w:ascii="宋体" w:hAnsi="宋体" w:eastAsia="宋体" w:cs="宋体"/>
          <w:kern w:val="28"/>
          <w:sz w:val="24"/>
          <w:szCs w:val="24"/>
        </w:rPr>
        <w:t xml:space="preserve">  备品备件清单</w:t>
      </w:r>
    </w:p>
    <w:tbl>
      <w:tblPr>
        <w:tblStyle w:val="7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838"/>
        <w:gridCol w:w="1260"/>
        <w:gridCol w:w="1133"/>
        <w:gridCol w:w="757"/>
        <w:gridCol w:w="1087"/>
        <w:gridCol w:w="1088"/>
        <w:gridCol w:w="11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7"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序号</w:t>
            </w:r>
          </w:p>
        </w:tc>
        <w:tc>
          <w:tcPr>
            <w:tcW w:w="1020"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设备或材料名称</w:t>
            </w:r>
          </w:p>
        </w:tc>
        <w:tc>
          <w:tcPr>
            <w:tcW w:w="69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规格型号</w:t>
            </w:r>
          </w:p>
        </w:tc>
        <w:tc>
          <w:tcPr>
            <w:tcW w:w="62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单位（台）</w:t>
            </w:r>
          </w:p>
        </w:tc>
        <w:tc>
          <w:tcPr>
            <w:tcW w:w="420"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数量</w:t>
            </w:r>
          </w:p>
        </w:tc>
        <w:tc>
          <w:tcPr>
            <w:tcW w:w="603"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产地</w:t>
            </w:r>
          </w:p>
        </w:tc>
        <w:tc>
          <w:tcPr>
            <w:tcW w:w="604"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生产厂家</w:t>
            </w:r>
          </w:p>
        </w:tc>
        <w:tc>
          <w:tcPr>
            <w:tcW w:w="634"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b/>
              </w:rPr>
            </w:pPr>
            <w:r>
              <w:rPr>
                <w:rFonts w:hint="eastAsia" w:ascii="宋体" w:hAnsi="宋体" w:eastAsia="宋体" w:cs="宋体"/>
                <w:b/>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7"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r>
              <w:rPr>
                <w:rFonts w:hint="eastAsia" w:ascii="宋体" w:hAnsi="宋体" w:eastAsia="宋体" w:cs="宋体"/>
              </w:rPr>
              <w:t>1</w:t>
            </w:r>
          </w:p>
        </w:tc>
        <w:tc>
          <w:tcPr>
            <w:tcW w:w="1020" w:type="pct"/>
            <w:vAlign w:val="center"/>
          </w:tcPr>
          <w:p>
            <w:pPr>
              <w:keepNext w:val="0"/>
              <w:keepLines w:val="0"/>
              <w:suppressLineNumbers w:val="0"/>
              <w:snapToGrid w:val="0"/>
              <w:spacing w:before="0" w:beforeAutospacing="0" w:after="0" w:afterAutospacing="0" w:line="320" w:lineRule="exact"/>
              <w:ind w:left="0" w:right="0"/>
              <w:rPr>
                <w:rFonts w:hint="eastAsia" w:ascii="宋体" w:hAnsi="宋体" w:eastAsia="宋体" w:cs="宋体"/>
              </w:rPr>
            </w:pPr>
            <w:r>
              <w:rPr>
                <w:rFonts w:hint="eastAsia" w:ascii="宋体" w:hAnsi="宋体" w:eastAsia="宋体" w:cs="宋体"/>
              </w:rPr>
              <w:t>指示灯</w:t>
            </w:r>
          </w:p>
        </w:tc>
        <w:tc>
          <w:tcPr>
            <w:tcW w:w="699" w:type="pct"/>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rPr>
            </w:pPr>
          </w:p>
        </w:tc>
        <w:tc>
          <w:tcPr>
            <w:tcW w:w="629" w:type="pct"/>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rPr>
            </w:pPr>
            <w:r>
              <w:rPr>
                <w:rFonts w:hint="eastAsia" w:ascii="宋体" w:hAnsi="宋体" w:eastAsia="宋体" w:cs="宋体"/>
              </w:rPr>
              <w:t>只</w:t>
            </w:r>
          </w:p>
        </w:tc>
        <w:tc>
          <w:tcPr>
            <w:tcW w:w="420" w:type="pct"/>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rPr>
            </w:pPr>
          </w:p>
        </w:tc>
        <w:tc>
          <w:tcPr>
            <w:tcW w:w="603"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04"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34"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87"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r>
              <w:rPr>
                <w:rFonts w:hint="eastAsia" w:ascii="宋体" w:hAnsi="宋体" w:eastAsia="宋体" w:cs="宋体"/>
              </w:rPr>
              <w:t>2</w:t>
            </w:r>
          </w:p>
        </w:tc>
        <w:tc>
          <w:tcPr>
            <w:tcW w:w="1020" w:type="pct"/>
            <w:vAlign w:val="center"/>
          </w:tcPr>
          <w:p>
            <w:pPr>
              <w:keepNext w:val="0"/>
              <w:keepLines w:val="0"/>
              <w:suppressLineNumbers w:val="0"/>
              <w:snapToGrid w:val="0"/>
              <w:spacing w:before="0" w:beforeAutospacing="0" w:after="0" w:afterAutospacing="0" w:line="320" w:lineRule="exact"/>
              <w:ind w:left="0" w:right="0"/>
              <w:rPr>
                <w:rFonts w:hint="eastAsia" w:ascii="宋体" w:hAnsi="宋体" w:eastAsia="宋体" w:cs="宋体"/>
                <w:kern w:val="2"/>
                <w:sz w:val="21"/>
                <w:szCs w:val="21"/>
                <w:lang w:val="en-US" w:eastAsia="zh-CN" w:bidi="ar-SA"/>
              </w:rPr>
            </w:pPr>
            <w:r>
              <w:rPr>
                <w:rFonts w:hint="eastAsia" w:ascii="宋体" w:hAnsi="宋体" w:eastAsia="宋体" w:cs="宋体"/>
              </w:rPr>
              <w:t>带电显示器</w:t>
            </w:r>
          </w:p>
        </w:tc>
        <w:tc>
          <w:tcPr>
            <w:tcW w:w="699" w:type="pct"/>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p>
        </w:tc>
        <w:tc>
          <w:tcPr>
            <w:tcW w:w="629" w:type="pct"/>
            <w:vAlign w:val="center"/>
          </w:tcPr>
          <w:p>
            <w:pPr>
              <w:keepNext w:val="0"/>
              <w:keepLines w:val="0"/>
              <w:suppressLineNumbers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只</w:t>
            </w:r>
          </w:p>
        </w:tc>
        <w:tc>
          <w:tcPr>
            <w:tcW w:w="420"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c>
          <w:tcPr>
            <w:tcW w:w="603"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04"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34"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7"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r>
              <w:rPr>
                <w:rFonts w:hint="eastAsia" w:ascii="宋体" w:hAnsi="宋体" w:eastAsia="宋体" w:cs="宋体"/>
              </w:rPr>
              <w:t>4</w:t>
            </w:r>
          </w:p>
        </w:tc>
        <w:tc>
          <w:tcPr>
            <w:tcW w:w="1020" w:type="pct"/>
            <w:vAlign w:val="center"/>
          </w:tcPr>
          <w:p>
            <w:pPr>
              <w:keepNext w:val="0"/>
              <w:keepLines w:val="0"/>
              <w:suppressLineNumbers w:val="0"/>
              <w:adjustRightInd w:val="0"/>
              <w:snapToGrid w:val="0"/>
              <w:spacing w:before="0" w:beforeAutospacing="0" w:after="0" w:afterAutospacing="0" w:line="320" w:lineRule="exact"/>
              <w:ind w:left="0" w:right="0"/>
              <w:rPr>
                <w:rFonts w:hint="eastAsia" w:ascii="宋体" w:hAnsi="宋体" w:eastAsia="宋体" w:cs="宋体"/>
                <w:kern w:val="2"/>
                <w:sz w:val="21"/>
                <w:szCs w:val="21"/>
                <w:lang w:val="en-US" w:eastAsia="zh-CN" w:bidi="ar-SA"/>
              </w:rPr>
            </w:pPr>
            <w:r>
              <w:rPr>
                <w:rFonts w:hint="eastAsia" w:ascii="宋体" w:hAnsi="宋体" w:eastAsia="宋体" w:cs="宋体"/>
              </w:rPr>
              <w:t>高压避雷器</w:t>
            </w:r>
          </w:p>
        </w:tc>
        <w:tc>
          <w:tcPr>
            <w:tcW w:w="69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p>
        </w:tc>
        <w:tc>
          <w:tcPr>
            <w:tcW w:w="62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只</w:t>
            </w:r>
          </w:p>
        </w:tc>
        <w:tc>
          <w:tcPr>
            <w:tcW w:w="420"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c>
          <w:tcPr>
            <w:tcW w:w="603"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04"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34"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7"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r>
              <w:rPr>
                <w:rFonts w:hint="eastAsia" w:ascii="宋体" w:hAnsi="宋体" w:eastAsia="宋体" w:cs="宋体"/>
              </w:rPr>
              <w:t>5</w:t>
            </w:r>
          </w:p>
        </w:tc>
        <w:tc>
          <w:tcPr>
            <w:tcW w:w="1020" w:type="pct"/>
            <w:vAlign w:val="center"/>
          </w:tcPr>
          <w:p>
            <w:pPr>
              <w:keepNext w:val="0"/>
              <w:keepLines w:val="0"/>
              <w:suppressLineNumbers w:val="0"/>
              <w:adjustRightInd w:val="0"/>
              <w:snapToGrid w:val="0"/>
              <w:spacing w:before="0" w:beforeAutospacing="0" w:after="0" w:afterAutospacing="0" w:line="320" w:lineRule="exact"/>
              <w:ind w:left="0" w:right="0"/>
              <w:rPr>
                <w:rFonts w:hint="eastAsia" w:ascii="宋体" w:hAnsi="宋体" w:eastAsia="宋体" w:cs="宋体"/>
                <w:kern w:val="2"/>
                <w:sz w:val="21"/>
                <w:szCs w:val="21"/>
                <w:lang w:val="en-US" w:eastAsia="zh-CN" w:bidi="ar-SA"/>
              </w:rPr>
            </w:pPr>
            <w:r>
              <w:rPr>
                <w:rFonts w:hint="eastAsia" w:ascii="宋体" w:hAnsi="宋体" w:eastAsia="宋体" w:cs="宋体"/>
              </w:rPr>
              <w:t>低压</w:t>
            </w:r>
            <w:r>
              <w:rPr>
                <w:rFonts w:hint="eastAsia" w:ascii="宋体" w:hAnsi="宋体" w:eastAsia="宋体" w:cs="宋体"/>
                <w:kern w:val="0"/>
              </w:rPr>
              <w:t>浪涌</w:t>
            </w:r>
          </w:p>
        </w:tc>
        <w:tc>
          <w:tcPr>
            <w:tcW w:w="69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p>
        </w:tc>
        <w:tc>
          <w:tcPr>
            <w:tcW w:w="62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只</w:t>
            </w:r>
          </w:p>
        </w:tc>
        <w:tc>
          <w:tcPr>
            <w:tcW w:w="420"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c>
          <w:tcPr>
            <w:tcW w:w="603"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04"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34"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7"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lang w:val="en-US" w:eastAsia="zh-CN"/>
              </w:rPr>
            </w:pPr>
            <w:r>
              <w:rPr>
                <w:rFonts w:hint="eastAsia" w:ascii="宋体" w:hAnsi="宋体" w:eastAsia="宋体" w:cs="宋体"/>
                <w:lang w:val="en-US" w:eastAsia="zh-CN"/>
              </w:rPr>
              <w:t>6</w:t>
            </w:r>
          </w:p>
        </w:tc>
        <w:tc>
          <w:tcPr>
            <w:tcW w:w="1020" w:type="pct"/>
            <w:vAlign w:val="center"/>
          </w:tcPr>
          <w:p>
            <w:pPr>
              <w:keepNext w:val="0"/>
              <w:keepLines w:val="0"/>
              <w:suppressLineNumbers w:val="0"/>
              <w:adjustRightInd w:val="0"/>
              <w:snapToGrid w:val="0"/>
              <w:spacing w:before="0" w:beforeAutospacing="0" w:after="0" w:afterAutospacing="0" w:line="320" w:lineRule="exact"/>
              <w:ind w:left="0" w:right="0"/>
              <w:rPr>
                <w:rFonts w:hint="eastAsia" w:ascii="宋体" w:hAnsi="宋体" w:eastAsia="宋体" w:cs="宋体"/>
                <w:kern w:val="2"/>
                <w:sz w:val="21"/>
                <w:szCs w:val="21"/>
                <w:lang w:val="en-US" w:eastAsia="zh-CN" w:bidi="ar-SA"/>
              </w:rPr>
            </w:pPr>
            <w:r>
              <w:rPr>
                <w:rFonts w:hint="default"/>
              </w:rPr>
              <w:t>低压塑壳断路器</w:t>
            </w:r>
          </w:p>
        </w:tc>
        <w:tc>
          <w:tcPr>
            <w:tcW w:w="69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p>
        </w:tc>
        <w:tc>
          <w:tcPr>
            <w:tcW w:w="62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rPr>
              <w:t>只</w:t>
            </w:r>
          </w:p>
        </w:tc>
        <w:tc>
          <w:tcPr>
            <w:tcW w:w="420"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c>
          <w:tcPr>
            <w:tcW w:w="603"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04"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34"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7"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default" w:ascii="宋体" w:hAnsi="宋体" w:eastAsia="宋体" w:cs="宋体"/>
                <w:lang w:val="en-US" w:eastAsia="zh-CN"/>
              </w:rPr>
            </w:pPr>
            <w:r>
              <w:rPr>
                <w:rFonts w:hint="eastAsia" w:ascii="宋体" w:hAnsi="宋体" w:cs="宋体"/>
                <w:lang w:val="en-US" w:eastAsia="zh-CN"/>
              </w:rPr>
              <w:t>7</w:t>
            </w:r>
          </w:p>
        </w:tc>
        <w:tc>
          <w:tcPr>
            <w:tcW w:w="1020" w:type="pct"/>
            <w:vAlign w:val="center"/>
          </w:tcPr>
          <w:p>
            <w:pPr>
              <w:keepNext w:val="0"/>
              <w:keepLines w:val="0"/>
              <w:suppressLineNumbers w:val="0"/>
              <w:adjustRightInd w:val="0"/>
              <w:snapToGrid w:val="0"/>
              <w:spacing w:before="0" w:beforeAutospacing="0" w:after="0" w:afterAutospacing="0" w:line="320" w:lineRule="exact"/>
              <w:ind w:left="0" w:right="0"/>
              <w:rPr>
                <w:rFonts w:hint="default" w:ascii="宋体" w:hAnsi="宋体" w:eastAsia="宋体" w:cs="宋体"/>
                <w:lang w:val="en-US" w:eastAsia="zh-CN"/>
              </w:rPr>
            </w:pPr>
            <w:r>
              <w:rPr>
                <w:rFonts w:hint="eastAsia" w:ascii="宋体" w:hAnsi="宋体" w:cs="宋体"/>
                <w:lang w:val="en-US" w:eastAsia="zh-CN"/>
              </w:rPr>
              <w:t>....</w:t>
            </w:r>
          </w:p>
        </w:tc>
        <w:tc>
          <w:tcPr>
            <w:tcW w:w="69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kern w:val="2"/>
                <w:sz w:val="21"/>
                <w:szCs w:val="21"/>
                <w:lang w:val="en-US" w:eastAsia="zh-CN" w:bidi="ar-SA"/>
              </w:rPr>
            </w:pPr>
          </w:p>
        </w:tc>
        <w:tc>
          <w:tcPr>
            <w:tcW w:w="629"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c>
          <w:tcPr>
            <w:tcW w:w="420"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c>
          <w:tcPr>
            <w:tcW w:w="603"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04"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634" w:type="pct"/>
            <w:vAlign w:val="center"/>
          </w:tcPr>
          <w:p>
            <w:pPr>
              <w:keepNext w:val="0"/>
              <w:keepLines w:val="0"/>
              <w:suppressLineNumbers w:val="0"/>
              <w:adjustRightInd w:val="0"/>
              <w:snapToGrid w:val="0"/>
              <w:spacing w:before="0" w:beforeAutospacing="0" w:after="0" w:afterAutospacing="0" w:line="320" w:lineRule="exact"/>
              <w:ind w:left="0" w:right="0"/>
              <w:jc w:val="center"/>
              <w:rPr>
                <w:rFonts w:hint="eastAsia" w:ascii="宋体" w:hAnsi="宋体" w:eastAsia="宋体" w:cs="宋体"/>
              </w:rPr>
            </w:pPr>
          </w:p>
        </w:tc>
      </w:tr>
    </w:tbl>
    <w:p>
      <w:pPr>
        <w:spacing w:line="340" w:lineRule="exact"/>
        <w:rPr>
          <w:rFonts w:hint="eastAsia" w:ascii="宋体" w:hAnsi="宋体" w:eastAsia="宋体" w:cs="宋体"/>
          <w:u w:color="000000"/>
        </w:rPr>
      </w:pPr>
      <w:r>
        <w:rPr>
          <w:rFonts w:hint="eastAsia" w:ascii="宋体" w:hAnsi="宋体" w:eastAsia="宋体" w:cs="宋体"/>
        </w:rPr>
        <w:t>注：必须提供的必要备品备件，备品备件应是新品，与设备同品牌、同型号、同工艺。必要的备品备件以最终需求为准，但应能满足采购方需求，</w:t>
      </w:r>
      <w:r>
        <w:rPr>
          <w:rFonts w:hint="eastAsia" w:ascii="宋体" w:hAnsi="宋体" w:eastAsia="宋体" w:cs="宋体"/>
          <w:u w:color="000000"/>
        </w:rPr>
        <w:t>备品备件的价格列入报价汇总表中。</w:t>
      </w:r>
    </w:p>
    <w:p>
      <w:pPr>
        <w:snapToGrid w:val="0"/>
        <w:spacing w:line="360" w:lineRule="auto"/>
        <w:jc w:val="center"/>
        <w:rPr>
          <w:rFonts w:hint="eastAsia" w:ascii="宋体" w:hAnsi="宋体" w:eastAsia="宋体" w:cs="宋体"/>
          <w:kern w:val="28"/>
          <w:sz w:val="24"/>
          <w:szCs w:val="24"/>
        </w:rPr>
      </w:pPr>
      <w:r>
        <w:rPr>
          <w:rFonts w:hint="eastAsia" w:ascii="宋体" w:hAnsi="宋体" w:eastAsia="宋体" w:cs="宋体"/>
          <w:kern w:val="28"/>
          <w:sz w:val="24"/>
          <w:szCs w:val="24"/>
        </w:rPr>
        <w:t>表3-</w:t>
      </w:r>
      <w:r>
        <w:rPr>
          <w:rFonts w:hint="eastAsia" w:ascii="宋体" w:hAnsi="宋体" w:eastAsia="宋体" w:cs="宋体"/>
          <w:kern w:val="28"/>
          <w:sz w:val="24"/>
          <w:szCs w:val="24"/>
          <w:lang w:val="en-US" w:eastAsia="zh-CN"/>
        </w:rPr>
        <w:t>4</w:t>
      </w:r>
      <w:r>
        <w:rPr>
          <w:rFonts w:hint="eastAsia" w:ascii="宋体" w:hAnsi="宋体" w:eastAsia="宋体" w:cs="宋体"/>
          <w:kern w:val="28"/>
          <w:sz w:val="24"/>
          <w:szCs w:val="24"/>
        </w:rPr>
        <w:t xml:space="preserve">   必需的专用工器具及仪器仪表  </w:t>
      </w:r>
    </w:p>
    <w:tbl>
      <w:tblPr>
        <w:tblStyle w:val="76"/>
        <w:tblW w:w="8843"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28" w:type="dxa"/>
          <w:bottom w:w="0" w:type="dxa"/>
          <w:right w:w="28" w:type="dxa"/>
        </w:tblCellMar>
      </w:tblPr>
      <w:tblGrid>
        <w:gridCol w:w="650"/>
        <w:gridCol w:w="1951"/>
        <w:gridCol w:w="1302"/>
        <w:gridCol w:w="780"/>
        <w:gridCol w:w="911"/>
        <w:gridCol w:w="1040"/>
        <w:gridCol w:w="1169"/>
        <w:gridCol w:w="104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97" w:hRule="atLeast"/>
          <w:tblHeader/>
        </w:trPr>
        <w:tc>
          <w:tcPr>
            <w:tcW w:w="65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序号</w:t>
            </w:r>
          </w:p>
        </w:tc>
        <w:tc>
          <w:tcPr>
            <w:tcW w:w="1951"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名称</w:t>
            </w:r>
          </w:p>
        </w:tc>
        <w:tc>
          <w:tcPr>
            <w:tcW w:w="1302"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规格和型号</w:t>
            </w:r>
          </w:p>
        </w:tc>
        <w:tc>
          <w:tcPr>
            <w:tcW w:w="78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单位</w:t>
            </w:r>
          </w:p>
        </w:tc>
        <w:tc>
          <w:tcPr>
            <w:tcW w:w="911"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数量</w:t>
            </w:r>
          </w:p>
        </w:tc>
        <w:tc>
          <w:tcPr>
            <w:tcW w:w="104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产地</w:t>
            </w:r>
          </w:p>
        </w:tc>
        <w:tc>
          <w:tcPr>
            <w:tcW w:w="1169"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生产厂家</w:t>
            </w:r>
          </w:p>
        </w:tc>
        <w:tc>
          <w:tcPr>
            <w:tcW w:w="104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90" w:hRule="atLeast"/>
        </w:trPr>
        <w:tc>
          <w:tcPr>
            <w:tcW w:w="65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r>
              <w:rPr>
                <w:rFonts w:hint="eastAsia" w:ascii="宋体" w:hAnsi="宋体" w:eastAsia="宋体" w:cs="宋体"/>
              </w:rPr>
              <w:t>1</w:t>
            </w:r>
          </w:p>
        </w:tc>
        <w:tc>
          <w:tcPr>
            <w:tcW w:w="1951" w:type="dxa"/>
            <w:vAlign w:val="center"/>
          </w:tcPr>
          <w:p>
            <w:pPr>
              <w:keepNext w:val="0"/>
              <w:keepLines w:val="0"/>
              <w:suppressLineNumbers w:val="0"/>
              <w:tabs>
                <w:tab w:val="left" w:pos="851"/>
              </w:tabs>
              <w:snapToGrid w:val="0"/>
              <w:spacing w:before="0" w:beforeAutospacing="0" w:after="0" w:afterAutospacing="0" w:line="360" w:lineRule="exact"/>
              <w:ind w:left="0" w:right="0"/>
              <w:jc w:val="left"/>
              <w:rPr>
                <w:rFonts w:hint="eastAsia" w:ascii="宋体" w:hAnsi="宋体" w:eastAsia="宋体" w:cs="宋体"/>
              </w:rPr>
            </w:pPr>
            <w:r>
              <w:rPr>
                <w:rFonts w:hint="eastAsia" w:ascii="宋体" w:hAnsi="宋体" w:eastAsia="宋体" w:cs="宋体"/>
              </w:rPr>
              <w:t>门钥匙</w:t>
            </w:r>
          </w:p>
        </w:tc>
        <w:tc>
          <w:tcPr>
            <w:tcW w:w="1302" w:type="dxa"/>
            <w:vAlign w:val="center"/>
          </w:tcPr>
          <w:p>
            <w:pPr>
              <w:keepNext w:val="0"/>
              <w:keepLines w:val="0"/>
              <w:suppressLineNumbers w:val="0"/>
              <w:tabs>
                <w:tab w:val="left" w:pos="851"/>
              </w:tabs>
              <w:snapToGrid w:val="0"/>
              <w:spacing w:before="0" w:beforeAutospacing="0" w:after="0" w:afterAutospacing="0" w:line="360" w:lineRule="exact"/>
              <w:ind w:left="0" w:right="0"/>
              <w:jc w:val="center"/>
              <w:rPr>
                <w:rFonts w:hint="eastAsia" w:ascii="宋体" w:hAnsi="宋体" w:eastAsia="宋体" w:cs="宋体"/>
              </w:rPr>
            </w:pPr>
          </w:p>
        </w:tc>
        <w:tc>
          <w:tcPr>
            <w:tcW w:w="78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r>
              <w:rPr>
                <w:rFonts w:hint="eastAsia" w:ascii="宋体" w:hAnsi="宋体" w:eastAsia="宋体" w:cs="宋体"/>
              </w:rPr>
              <w:t>只</w:t>
            </w:r>
          </w:p>
        </w:tc>
        <w:tc>
          <w:tcPr>
            <w:tcW w:w="911" w:type="dxa"/>
            <w:vAlign w:val="center"/>
          </w:tcPr>
          <w:p>
            <w:pPr>
              <w:keepNext w:val="0"/>
              <w:keepLines w:val="0"/>
              <w:suppressLineNumbers w:val="0"/>
              <w:tabs>
                <w:tab w:val="left" w:pos="851"/>
              </w:tabs>
              <w:snapToGrid w:val="0"/>
              <w:spacing w:before="0" w:beforeAutospacing="0" w:after="0" w:afterAutospacing="0" w:line="360" w:lineRule="exact"/>
              <w:ind w:left="0" w:right="0"/>
              <w:jc w:val="center"/>
              <w:rPr>
                <w:rFonts w:hint="eastAsia" w:ascii="宋体" w:hAnsi="宋体" w:eastAsia="宋体" w:cs="宋体"/>
              </w:rPr>
            </w:pPr>
          </w:p>
        </w:tc>
        <w:tc>
          <w:tcPr>
            <w:tcW w:w="104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04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97" w:hRule="atLeast"/>
        </w:trPr>
        <w:tc>
          <w:tcPr>
            <w:tcW w:w="65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r>
              <w:rPr>
                <w:rFonts w:hint="eastAsia" w:ascii="宋体" w:hAnsi="宋体" w:eastAsia="宋体" w:cs="宋体"/>
              </w:rPr>
              <w:t>2</w:t>
            </w:r>
          </w:p>
        </w:tc>
        <w:tc>
          <w:tcPr>
            <w:tcW w:w="1951" w:type="dxa"/>
            <w:vAlign w:val="center"/>
          </w:tcPr>
          <w:p>
            <w:pPr>
              <w:keepNext w:val="0"/>
              <w:keepLines w:val="0"/>
              <w:suppressLineNumbers w:val="0"/>
              <w:tabs>
                <w:tab w:val="left" w:pos="851"/>
              </w:tabs>
              <w:snapToGrid w:val="0"/>
              <w:spacing w:before="0" w:beforeAutospacing="0" w:after="0" w:afterAutospacing="0" w:line="360" w:lineRule="exact"/>
              <w:ind w:left="0" w:right="0"/>
              <w:jc w:val="left"/>
              <w:rPr>
                <w:rFonts w:hint="eastAsia" w:ascii="宋体" w:hAnsi="宋体" w:eastAsia="宋体" w:cs="宋体"/>
              </w:rPr>
            </w:pPr>
            <w:r>
              <w:rPr>
                <w:rFonts w:hint="eastAsia" w:ascii="宋体" w:hAnsi="宋体" w:eastAsia="宋体" w:cs="宋体"/>
              </w:rPr>
              <w:t>操作把手</w:t>
            </w:r>
          </w:p>
        </w:tc>
        <w:tc>
          <w:tcPr>
            <w:tcW w:w="1302" w:type="dxa"/>
            <w:vAlign w:val="center"/>
          </w:tcPr>
          <w:p>
            <w:pPr>
              <w:keepNext w:val="0"/>
              <w:keepLines w:val="0"/>
              <w:suppressLineNumbers w:val="0"/>
              <w:tabs>
                <w:tab w:val="left" w:pos="851"/>
              </w:tabs>
              <w:snapToGrid w:val="0"/>
              <w:spacing w:before="0" w:beforeAutospacing="0" w:after="0" w:afterAutospacing="0" w:line="360" w:lineRule="exact"/>
              <w:ind w:left="0" w:right="0"/>
              <w:jc w:val="center"/>
              <w:rPr>
                <w:rFonts w:hint="eastAsia" w:ascii="宋体" w:hAnsi="宋体" w:eastAsia="宋体" w:cs="宋体"/>
              </w:rPr>
            </w:pPr>
          </w:p>
        </w:tc>
        <w:tc>
          <w:tcPr>
            <w:tcW w:w="78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r>
              <w:rPr>
                <w:rFonts w:hint="eastAsia" w:ascii="宋体" w:hAnsi="宋体" w:eastAsia="宋体" w:cs="宋体"/>
              </w:rPr>
              <w:t>只</w:t>
            </w:r>
          </w:p>
        </w:tc>
        <w:tc>
          <w:tcPr>
            <w:tcW w:w="911" w:type="dxa"/>
            <w:vAlign w:val="center"/>
          </w:tcPr>
          <w:p>
            <w:pPr>
              <w:keepNext w:val="0"/>
              <w:keepLines w:val="0"/>
              <w:suppressLineNumbers w:val="0"/>
              <w:tabs>
                <w:tab w:val="left" w:pos="851"/>
              </w:tabs>
              <w:snapToGrid w:val="0"/>
              <w:spacing w:before="0" w:beforeAutospacing="0" w:after="0" w:afterAutospacing="0" w:line="360" w:lineRule="exact"/>
              <w:ind w:left="0" w:right="0"/>
              <w:jc w:val="center"/>
              <w:rPr>
                <w:rFonts w:hint="eastAsia" w:ascii="宋体" w:hAnsi="宋体" w:eastAsia="宋体" w:cs="宋体"/>
              </w:rPr>
            </w:pPr>
          </w:p>
        </w:tc>
        <w:tc>
          <w:tcPr>
            <w:tcW w:w="104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040" w:type="dxa"/>
            <w:vAlign w:val="center"/>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r>
    </w:tbl>
    <w:p>
      <w:pPr>
        <w:adjustRightInd w:val="0"/>
        <w:snapToGrid w:val="0"/>
        <w:spacing w:before="120" w:beforeLines="50" w:line="360" w:lineRule="auto"/>
        <w:ind w:left="-567" w:leftChars="-270"/>
        <w:rPr>
          <w:rFonts w:hint="eastAsia" w:ascii="宋体" w:hAnsi="宋体" w:eastAsia="宋体" w:cs="宋体"/>
        </w:rPr>
      </w:pPr>
      <w:r>
        <w:rPr>
          <w:rFonts w:hint="eastAsia" w:ascii="宋体" w:hAnsi="宋体" w:eastAsia="宋体" w:cs="宋体"/>
        </w:rPr>
        <w:t xml:space="preserve">     注：应提供专用工器具的技术参数和使用说明书等资料。</w:t>
      </w:r>
    </w:p>
    <w:p>
      <w:pPr>
        <w:snapToGrid w:val="0"/>
        <w:spacing w:line="360" w:lineRule="auto"/>
        <w:jc w:val="center"/>
        <w:rPr>
          <w:rFonts w:hint="eastAsia" w:ascii="宋体" w:hAnsi="宋体" w:eastAsia="宋体" w:cs="宋体"/>
          <w:kern w:val="28"/>
          <w:sz w:val="24"/>
          <w:szCs w:val="24"/>
        </w:rPr>
      </w:pPr>
      <w:r>
        <w:rPr>
          <w:rFonts w:hint="eastAsia" w:ascii="宋体" w:hAnsi="宋体" w:eastAsia="宋体" w:cs="宋体"/>
          <w:kern w:val="28"/>
          <w:sz w:val="24"/>
          <w:szCs w:val="24"/>
        </w:rPr>
        <w:t>表3-4   推荐的专用工器具及仪器仪表</w:t>
      </w:r>
    </w:p>
    <w:tbl>
      <w:tblPr>
        <w:tblStyle w:val="76"/>
        <w:tblW w:w="8843"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28" w:type="dxa"/>
          <w:bottom w:w="0" w:type="dxa"/>
          <w:right w:w="28" w:type="dxa"/>
        </w:tblCellMar>
      </w:tblPr>
      <w:tblGrid>
        <w:gridCol w:w="652"/>
        <w:gridCol w:w="2080"/>
        <w:gridCol w:w="1171"/>
        <w:gridCol w:w="780"/>
        <w:gridCol w:w="911"/>
        <w:gridCol w:w="1040"/>
        <w:gridCol w:w="1169"/>
        <w:gridCol w:w="1040"/>
      </w:tblGrid>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tblHeader/>
        </w:trPr>
        <w:tc>
          <w:tcPr>
            <w:tcW w:w="652"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序号</w:t>
            </w:r>
          </w:p>
        </w:tc>
        <w:tc>
          <w:tcPr>
            <w:tcW w:w="208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名称</w:t>
            </w:r>
          </w:p>
        </w:tc>
        <w:tc>
          <w:tcPr>
            <w:tcW w:w="117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规格和型号</w:t>
            </w:r>
          </w:p>
        </w:tc>
        <w:tc>
          <w:tcPr>
            <w:tcW w:w="78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单位</w:t>
            </w:r>
          </w:p>
        </w:tc>
        <w:tc>
          <w:tcPr>
            <w:tcW w:w="911"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数量</w:t>
            </w:r>
          </w:p>
        </w:tc>
        <w:tc>
          <w:tcPr>
            <w:tcW w:w="104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产地</w:t>
            </w:r>
          </w:p>
        </w:tc>
        <w:tc>
          <w:tcPr>
            <w:tcW w:w="1169"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生产厂家</w:t>
            </w:r>
          </w:p>
        </w:tc>
        <w:tc>
          <w:tcPr>
            <w:tcW w:w="104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b/>
              </w:rPr>
            </w:pPr>
            <w:r>
              <w:rPr>
                <w:rFonts w:hint="eastAsia" w:ascii="宋体" w:hAnsi="宋体" w:eastAsia="宋体" w:cs="宋体"/>
                <w:b/>
              </w:rPr>
              <w:t>备注</w:t>
            </w:r>
          </w:p>
        </w:tc>
      </w:tr>
      <w:tr>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28" w:type="dxa"/>
            <w:bottom w:w="0" w:type="dxa"/>
            <w:right w:w="28" w:type="dxa"/>
          </w:tblCellMar>
        </w:tblPrEx>
        <w:trPr>
          <w:trHeight w:val="340" w:hRule="atLeast"/>
        </w:trPr>
        <w:tc>
          <w:tcPr>
            <w:tcW w:w="652"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2080" w:type="dxa"/>
            <w:vAlign w:val="center"/>
          </w:tcPr>
          <w:p>
            <w:pPr>
              <w:keepNext w:val="0"/>
              <w:keepLines w:val="0"/>
              <w:suppressLineNumbers w:val="0"/>
              <w:tabs>
                <w:tab w:val="left" w:pos="851"/>
              </w:tabs>
              <w:snapToGrid w:val="0"/>
              <w:spacing w:before="0" w:beforeAutospacing="0" w:after="0" w:afterAutospacing="0" w:line="360" w:lineRule="exact"/>
              <w:ind w:left="0" w:right="0"/>
              <w:jc w:val="left"/>
              <w:rPr>
                <w:rFonts w:hint="eastAsia" w:ascii="宋体" w:hAnsi="宋体" w:eastAsia="宋体" w:cs="宋体"/>
              </w:rPr>
            </w:pPr>
          </w:p>
        </w:tc>
        <w:tc>
          <w:tcPr>
            <w:tcW w:w="1171" w:type="dxa"/>
            <w:vAlign w:val="center"/>
          </w:tcPr>
          <w:p>
            <w:pPr>
              <w:keepNext w:val="0"/>
              <w:keepLines w:val="0"/>
              <w:suppressLineNumbers w:val="0"/>
              <w:tabs>
                <w:tab w:val="left" w:pos="851"/>
              </w:tabs>
              <w:snapToGrid w:val="0"/>
              <w:spacing w:before="0" w:beforeAutospacing="0" w:after="0" w:afterAutospacing="0" w:line="240" w:lineRule="exact"/>
              <w:ind w:left="0" w:right="0"/>
              <w:jc w:val="center"/>
              <w:rPr>
                <w:rFonts w:hint="eastAsia" w:ascii="宋体" w:hAnsi="宋体" w:eastAsia="宋体" w:cs="宋体"/>
              </w:rPr>
            </w:pPr>
          </w:p>
        </w:tc>
        <w:tc>
          <w:tcPr>
            <w:tcW w:w="78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c>
          <w:tcPr>
            <w:tcW w:w="911" w:type="dxa"/>
            <w:vAlign w:val="center"/>
          </w:tcPr>
          <w:p>
            <w:pPr>
              <w:keepNext w:val="0"/>
              <w:keepLines w:val="0"/>
              <w:suppressLineNumbers w:val="0"/>
              <w:tabs>
                <w:tab w:val="left" w:pos="851"/>
              </w:tabs>
              <w:snapToGrid w:val="0"/>
              <w:spacing w:before="0" w:beforeAutospacing="0" w:after="0" w:afterAutospacing="0" w:line="240" w:lineRule="exact"/>
              <w:ind w:left="0" w:right="0"/>
              <w:jc w:val="center"/>
              <w:rPr>
                <w:rFonts w:hint="eastAsia" w:ascii="宋体" w:hAnsi="宋体" w:eastAsia="宋体" w:cs="宋体"/>
              </w:rPr>
            </w:pPr>
          </w:p>
        </w:tc>
        <w:tc>
          <w:tcPr>
            <w:tcW w:w="1040"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16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1040" w:type="dxa"/>
            <w:vAlign w:val="center"/>
          </w:tcPr>
          <w:p>
            <w:pPr>
              <w:keepNext w:val="0"/>
              <w:keepLines w:val="0"/>
              <w:suppressLineNumbers w:val="0"/>
              <w:adjustRightInd w:val="0"/>
              <w:snapToGrid w:val="0"/>
              <w:spacing w:before="0" w:beforeAutospacing="0" w:after="0" w:afterAutospacing="0" w:line="240" w:lineRule="exact"/>
              <w:ind w:left="0" w:right="0"/>
              <w:jc w:val="center"/>
              <w:rPr>
                <w:rFonts w:hint="eastAsia" w:ascii="宋体" w:hAnsi="宋体" w:eastAsia="宋体" w:cs="宋体"/>
              </w:rPr>
            </w:pPr>
          </w:p>
        </w:tc>
      </w:tr>
    </w:tbl>
    <w:p>
      <w:pPr>
        <w:snapToGrid w:val="0"/>
        <w:spacing w:line="360" w:lineRule="auto"/>
        <w:jc w:val="center"/>
        <w:rPr>
          <w:rFonts w:hint="eastAsia" w:ascii="宋体" w:hAnsi="宋体" w:eastAsia="宋体" w:cs="宋体"/>
          <w:kern w:val="28"/>
          <w:sz w:val="24"/>
          <w:szCs w:val="24"/>
        </w:rPr>
      </w:pPr>
      <w:r>
        <w:rPr>
          <w:rFonts w:hint="eastAsia" w:ascii="宋体" w:hAnsi="宋体" w:eastAsia="宋体" w:cs="宋体"/>
          <w:kern w:val="28"/>
          <w:sz w:val="24"/>
          <w:szCs w:val="24"/>
        </w:rPr>
        <w:t>表3-5   进口件清单</w:t>
      </w:r>
    </w:p>
    <w:tbl>
      <w:tblPr>
        <w:tblStyle w:val="76"/>
        <w:tblW w:w="8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28" w:type="dxa"/>
          <w:bottom w:w="0" w:type="dxa"/>
          <w:right w:w="28" w:type="dxa"/>
        </w:tblCellMar>
      </w:tblPr>
      <w:tblGrid>
        <w:gridCol w:w="639"/>
        <w:gridCol w:w="1829"/>
        <w:gridCol w:w="1247"/>
        <w:gridCol w:w="969"/>
        <w:gridCol w:w="914"/>
        <w:gridCol w:w="1043"/>
        <w:gridCol w:w="1174"/>
        <w:gridCol w:w="10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9"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序号</w:t>
            </w:r>
          </w:p>
        </w:tc>
        <w:tc>
          <w:tcPr>
            <w:tcW w:w="1829"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名称</w:t>
            </w:r>
          </w:p>
        </w:tc>
        <w:tc>
          <w:tcPr>
            <w:tcW w:w="1247"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规格和型号</w:t>
            </w:r>
          </w:p>
        </w:tc>
        <w:tc>
          <w:tcPr>
            <w:tcW w:w="969"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单位</w:t>
            </w:r>
          </w:p>
        </w:tc>
        <w:tc>
          <w:tcPr>
            <w:tcW w:w="914"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数量</w:t>
            </w:r>
          </w:p>
        </w:tc>
        <w:tc>
          <w:tcPr>
            <w:tcW w:w="1043"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产地</w:t>
            </w:r>
          </w:p>
        </w:tc>
        <w:tc>
          <w:tcPr>
            <w:tcW w:w="1174"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生产厂家</w:t>
            </w:r>
          </w:p>
        </w:tc>
        <w:tc>
          <w:tcPr>
            <w:tcW w:w="1028"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b/>
              </w:rPr>
            </w:pPr>
            <w:r>
              <w:rPr>
                <w:rFonts w:hint="eastAsia" w:ascii="宋体" w:hAnsi="宋体" w:eastAsia="宋体" w:cs="宋体"/>
                <w:b/>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39"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r>
              <w:rPr>
                <w:rFonts w:hint="eastAsia" w:ascii="宋体" w:hAnsi="宋体" w:eastAsia="宋体" w:cs="宋体"/>
              </w:rPr>
              <w:t>1</w:t>
            </w:r>
          </w:p>
        </w:tc>
        <w:tc>
          <w:tcPr>
            <w:tcW w:w="1829"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c>
          <w:tcPr>
            <w:tcW w:w="1247"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c>
          <w:tcPr>
            <w:tcW w:w="969"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c>
          <w:tcPr>
            <w:tcW w:w="914"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c>
          <w:tcPr>
            <w:tcW w:w="1043"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c>
          <w:tcPr>
            <w:tcW w:w="1174"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c>
          <w:tcPr>
            <w:tcW w:w="1028" w:type="dxa"/>
          </w:tcPr>
          <w:p>
            <w:pPr>
              <w:keepNext w:val="0"/>
              <w:keepLines w:val="0"/>
              <w:suppressLineNumbers w:val="0"/>
              <w:adjustRightInd w:val="0"/>
              <w:snapToGrid w:val="0"/>
              <w:spacing w:before="0" w:beforeAutospacing="0" w:after="0" w:afterAutospacing="0" w:line="360" w:lineRule="exact"/>
              <w:ind w:left="0" w:right="0"/>
              <w:jc w:val="center"/>
              <w:rPr>
                <w:rFonts w:hint="eastAsia" w:ascii="宋体" w:hAnsi="宋体" w:eastAsia="宋体" w:cs="宋体"/>
              </w:rPr>
            </w:pPr>
          </w:p>
        </w:tc>
      </w:tr>
    </w:tbl>
    <w:p>
      <w:pPr>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表3-6  主要部件材料清单</w:t>
      </w:r>
    </w:p>
    <w:tbl>
      <w:tblPr>
        <w:tblStyle w:val="76"/>
        <w:tblW w:w="900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5"/>
        <w:gridCol w:w="3176"/>
        <w:gridCol w:w="1332"/>
        <w:gridCol w:w="2834"/>
        <w:gridCol w:w="8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Merge w:val="restart"/>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b/>
                <w:kern w:val="0"/>
              </w:rPr>
            </w:pPr>
            <w:r>
              <w:rPr>
                <w:rFonts w:hint="eastAsia" w:ascii="宋体" w:hAnsi="宋体" w:eastAsia="宋体" w:cs="宋体"/>
                <w:b/>
                <w:kern w:val="0"/>
              </w:rPr>
              <w:t>序号</w:t>
            </w:r>
          </w:p>
        </w:tc>
        <w:tc>
          <w:tcPr>
            <w:tcW w:w="3176" w:type="dxa"/>
            <w:vMerge w:val="restart"/>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b/>
                <w:kern w:val="0"/>
              </w:rPr>
            </w:pPr>
            <w:r>
              <w:rPr>
                <w:rFonts w:hint="eastAsia" w:ascii="宋体" w:hAnsi="宋体" w:eastAsia="宋体" w:cs="宋体"/>
                <w:b/>
                <w:kern w:val="0"/>
              </w:rPr>
              <w:t>名称</w:t>
            </w:r>
          </w:p>
        </w:tc>
        <w:tc>
          <w:tcPr>
            <w:tcW w:w="4166" w:type="dxa"/>
            <w:gridSpan w:val="2"/>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b/>
                <w:kern w:val="0"/>
              </w:rPr>
            </w:pPr>
            <w:r>
              <w:rPr>
                <w:rFonts w:hint="eastAsia" w:ascii="宋体" w:hAnsi="宋体" w:eastAsia="宋体" w:cs="宋体"/>
                <w:b/>
                <w:kern w:val="0"/>
              </w:rPr>
              <w:t>型号、规格、厂家、原产地</w:t>
            </w:r>
          </w:p>
        </w:tc>
        <w:tc>
          <w:tcPr>
            <w:tcW w:w="816" w:type="dxa"/>
            <w:vMerge w:val="restart"/>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b/>
                <w:kern w:val="0"/>
              </w:rPr>
            </w:pPr>
            <w:r>
              <w:rPr>
                <w:rFonts w:hint="eastAsia" w:ascii="宋体" w:hAnsi="宋体" w:eastAsia="宋体" w:cs="宋体"/>
                <w:b/>
                <w:kern w:val="0"/>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Merge w:val="continue"/>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b/>
                <w:kern w:val="0"/>
              </w:rPr>
            </w:pPr>
          </w:p>
        </w:tc>
        <w:tc>
          <w:tcPr>
            <w:tcW w:w="3176" w:type="dxa"/>
            <w:vMerge w:val="continue"/>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b/>
                <w:kern w:val="0"/>
              </w:rPr>
            </w:pPr>
          </w:p>
        </w:tc>
        <w:tc>
          <w:tcPr>
            <w:tcW w:w="1332"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b/>
                <w:kern w:val="0"/>
              </w:rPr>
            </w:pPr>
            <w:r>
              <w:rPr>
                <w:rFonts w:hint="eastAsia" w:ascii="宋体" w:hAnsi="宋体" w:eastAsia="宋体" w:cs="宋体"/>
                <w:b/>
                <w:kern w:val="0"/>
              </w:rPr>
              <w:t>发包方要求</w:t>
            </w:r>
          </w:p>
        </w:tc>
        <w:tc>
          <w:tcPr>
            <w:tcW w:w="2834"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b/>
                <w:kern w:val="0"/>
              </w:rPr>
            </w:pPr>
            <w:r>
              <w:rPr>
                <w:rFonts w:hint="eastAsia" w:ascii="宋体" w:hAnsi="宋体" w:eastAsia="宋体" w:cs="宋体"/>
                <w:b/>
                <w:kern w:val="0"/>
              </w:rPr>
              <w:t>卖方响应</w:t>
            </w:r>
          </w:p>
        </w:tc>
        <w:tc>
          <w:tcPr>
            <w:tcW w:w="816" w:type="dxa"/>
            <w:vMerge w:val="continue"/>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b/>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1</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硅钢片</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c>
          <w:tcPr>
            <w:tcW w:w="283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Merge w:val="restart"/>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2</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高压侧导线</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c>
          <w:tcPr>
            <w:tcW w:w="2834" w:type="dxa"/>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Merge w:val="continue"/>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低压侧导线（铜箔）</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c>
          <w:tcPr>
            <w:tcW w:w="2834" w:type="dxa"/>
            <w:vMerge w:val="continue"/>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Merge w:val="restart"/>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3</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绝缘纸板</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c>
          <w:tcPr>
            <w:tcW w:w="283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Merge w:val="continue"/>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绝缘成型件</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c>
          <w:tcPr>
            <w:tcW w:w="283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4</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密封件</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c>
          <w:tcPr>
            <w:tcW w:w="283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5</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变压器壳体</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　</w:t>
            </w:r>
          </w:p>
        </w:tc>
        <w:tc>
          <w:tcPr>
            <w:tcW w:w="2834"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8</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kern w:val="0"/>
              </w:rPr>
              <w:t>高压避雷器</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2834"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9</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default" w:ascii="宋体" w:hAnsi="宋体" w:eastAsia="宋体" w:cs="宋体"/>
                <w:kern w:val="0"/>
                <w:lang w:val="en-US" w:eastAsia="zh-CN"/>
              </w:rPr>
            </w:pPr>
            <w:r>
              <w:rPr>
                <w:rFonts w:hint="eastAsia" w:ascii="宋体" w:hAnsi="宋体" w:cs="宋体"/>
                <w:kern w:val="0"/>
                <w:lang w:eastAsia="zh-CN"/>
              </w:rPr>
              <w:t>10kV</w:t>
            </w:r>
            <w:r>
              <w:rPr>
                <w:rFonts w:hint="eastAsia" w:ascii="宋体" w:hAnsi="宋体" w:cs="宋体"/>
                <w:kern w:val="0"/>
                <w:lang w:val="en-US" w:eastAsia="zh-CN"/>
              </w:rPr>
              <w:t>断路器</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2834"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10</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cs="宋体"/>
                <w:kern w:val="0"/>
                <w:lang w:eastAsia="zh-CN"/>
              </w:rPr>
              <w:t>10kV</w:t>
            </w:r>
            <w:r>
              <w:rPr>
                <w:rFonts w:hint="eastAsia" w:ascii="宋体" w:hAnsi="宋体" w:eastAsia="宋体" w:cs="宋体"/>
                <w:kern w:val="0"/>
              </w:rPr>
              <w:t>接地开关</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2834"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11</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cs="宋体"/>
                <w:kern w:val="0"/>
                <w:lang w:eastAsia="zh-CN"/>
              </w:rPr>
              <w:t>10kV</w:t>
            </w:r>
            <w:r>
              <w:rPr>
                <w:rFonts w:hint="eastAsia" w:ascii="宋体" w:hAnsi="宋体" w:eastAsia="宋体" w:cs="宋体"/>
                <w:kern w:val="0"/>
              </w:rPr>
              <w:t>隔离开关</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2834"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12</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sz w:val="21"/>
                <w:szCs w:val="21"/>
                <w:lang w:val="en-US" w:eastAsia="zh-CN" w:bidi="ar-SA"/>
              </w:rPr>
            </w:pPr>
            <w:r>
              <w:rPr>
                <w:rFonts w:hint="eastAsia" w:ascii="宋体" w:hAnsi="宋体" w:eastAsia="宋体" w:cs="宋体"/>
                <w:kern w:val="0"/>
              </w:rPr>
              <w:t>低压断路器</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2834"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r>
              <w:rPr>
                <w:rFonts w:hint="eastAsia" w:ascii="宋体" w:hAnsi="宋体" w:eastAsia="宋体" w:cs="宋体"/>
                <w:kern w:val="0"/>
              </w:rPr>
              <w:t>13</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sz w:val="21"/>
                <w:szCs w:val="21"/>
                <w:lang w:val="en-US" w:eastAsia="zh-CN" w:bidi="ar-SA"/>
              </w:rPr>
            </w:pPr>
            <w:r>
              <w:rPr>
                <w:rFonts w:hint="eastAsia" w:ascii="宋体" w:hAnsi="宋体" w:eastAsia="宋体" w:cs="宋体"/>
                <w:kern w:val="0"/>
              </w:rPr>
              <w:t>低压电流互感器</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2834"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5"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lang w:val="en-US" w:eastAsia="zh-CN"/>
              </w:rPr>
            </w:pPr>
            <w:r>
              <w:rPr>
                <w:rFonts w:hint="eastAsia" w:ascii="宋体" w:hAnsi="宋体" w:eastAsia="宋体" w:cs="宋体"/>
                <w:kern w:val="0"/>
                <w:lang w:val="en-US" w:eastAsia="zh-CN"/>
              </w:rPr>
              <w:t>14</w:t>
            </w:r>
          </w:p>
        </w:tc>
        <w:tc>
          <w:tcPr>
            <w:tcW w:w="317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r>
              <w:rPr>
                <w:rFonts w:hint="eastAsia" w:ascii="宋体" w:hAnsi="宋体" w:eastAsia="宋体" w:cs="宋体"/>
              </w:rPr>
              <w:t>低压浪涌</w:t>
            </w:r>
          </w:p>
        </w:tc>
        <w:tc>
          <w:tcPr>
            <w:tcW w:w="1332"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c>
          <w:tcPr>
            <w:tcW w:w="2834" w:type="dxa"/>
            <w:vAlign w:val="center"/>
          </w:tcPr>
          <w:p>
            <w:pPr>
              <w:keepNext w:val="0"/>
              <w:keepLines w:val="0"/>
              <w:widowControl/>
              <w:suppressLineNumbers w:val="0"/>
              <w:topLinePunct w:val="0"/>
              <w:spacing w:before="0" w:beforeAutospacing="0" w:after="0" w:afterAutospacing="0"/>
              <w:ind w:left="0" w:right="0"/>
              <w:jc w:val="center"/>
              <w:rPr>
                <w:rFonts w:hint="eastAsia" w:ascii="宋体" w:hAnsi="宋体" w:eastAsia="宋体" w:cs="宋体"/>
                <w:kern w:val="0"/>
              </w:rPr>
            </w:pPr>
          </w:p>
        </w:tc>
        <w:tc>
          <w:tcPr>
            <w:tcW w:w="816" w:type="dxa"/>
            <w:vAlign w:val="center"/>
          </w:tcPr>
          <w:p>
            <w:pPr>
              <w:keepNext w:val="0"/>
              <w:keepLines w:val="0"/>
              <w:widowControl/>
              <w:suppressLineNumbers w:val="0"/>
              <w:topLinePunct w:val="0"/>
              <w:spacing w:before="0" w:beforeAutospacing="0" w:after="0" w:afterAutospacing="0"/>
              <w:ind w:left="0" w:right="0"/>
              <w:jc w:val="left"/>
              <w:rPr>
                <w:rFonts w:hint="eastAsia" w:ascii="宋体" w:hAnsi="宋体" w:eastAsia="宋体" w:cs="宋体"/>
                <w:kern w:val="0"/>
              </w:rPr>
            </w:pPr>
          </w:p>
        </w:tc>
      </w:tr>
    </w:tbl>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85" w:name="_Toc349565678"/>
      <w:bookmarkStart w:id="286" w:name="_Toc382830695"/>
      <w:bookmarkStart w:id="287" w:name="_Toc520986954"/>
      <w:bookmarkStart w:id="288" w:name="_Toc28931"/>
      <w:r>
        <w:rPr>
          <w:rFonts w:hint="eastAsia" w:ascii="宋体" w:hAnsi="宋体" w:eastAsia="宋体" w:cs="宋体"/>
          <w:highlight w:val="none"/>
        </w:rPr>
        <w:t xml:space="preserve">4 </w:t>
      </w:r>
      <w:bookmarkEnd w:id="285"/>
      <w:r>
        <w:rPr>
          <w:rFonts w:hint="eastAsia" w:ascii="宋体" w:hAnsi="宋体" w:eastAsia="宋体" w:cs="宋体"/>
          <w:highlight w:val="none"/>
        </w:rPr>
        <w:t>产品相关资料</w:t>
      </w:r>
      <w:bookmarkEnd w:id="286"/>
      <w:bookmarkEnd w:id="287"/>
      <w:bookmarkEnd w:id="288"/>
    </w:p>
    <w:p>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附图：</w:t>
      </w:r>
    </w:p>
    <w:p>
      <w:pPr>
        <w:numPr>
          <w:ilvl w:val="0"/>
          <w:numId w:val="5"/>
        </w:numPr>
        <w:snapToGrid w:val="0"/>
        <w:spacing w:line="360" w:lineRule="auto"/>
        <w:rPr>
          <w:rFonts w:hint="eastAsia" w:ascii="宋体" w:hAnsi="宋体" w:eastAsia="宋体" w:cs="宋体"/>
          <w:sz w:val="24"/>
          <w:szCs w:val="24"/>
        </w:rPr>
      </w:pPr>
      <w:r>
        <w:rPr>
          <w:rFonts w:hint="eastAsia" w:ascii="宋体" w:hAnsi="宋体" w:eastAsia="宋体" w:cs="宋体"/>
          <w:sz w:val="24"/>
          <w:szCs w:val="24"/>
        </w:rPr>
        <w:t>箱式变电站电气方案  见附图</w:t>
      </w:r>
    </w:p>
    <w:p>
      <w:pPr>
        <w:pStyle w:val="72"/>
        <w:keepNext w:val="0"/>
        <w:keepLines w:val="0"/>
        <w:pageBreakBefore w:val="0"/>
        <w:widowControl w:val="0"/>
        <w:kinsoku/>
        <w:wordWrap/>
        <w:overflowPunct/>
        <w:topLinePunct w:val="0"/>
        <w:autoSpaceDE/>
        <w:autoSpaceDN/>
        <w:bidi w:val="0"/>
        <w:adjustRightInd/>
        <w:snapToGrid/>
        <w:spacing w:before="60" w:line="360" w:lineRule="auto"/>
        <w:jc w:val="left"/>
        <w:textAlignment w:val="auto"/>
        <w:rPr>
          <w:rFonts w:hint="eastAsia" w:ascii="宋体" w:hAnsi="宋体" w:eastAsia="宋体" w:cs="宋体"/>
          <w:highlight w:val="none"/>
        </w:rPr>
      </w:pPr>
      <w:bookmarkStart w:id="289" w:name="_Toc520986955"/>
      <w:bookmarkStart w:id="290" w:name="_Toc25807"/>
      <w:r>
        <w:rPr>
          <w:rFonts w:hint="eastAsia" w:ascii="宋体" w:hAnsi="宋体" w:eastAsia="宋体" w:cs="宋体"/>
          <w:highlight w:val="none"/>
        </w:rPr>
        <w:t>5</w:t>
      </w:r>
      <w:bookmarkStart w:id="291" w:name="_Toc323306987"/>
      <w:bookmarkStart w:id="292" w:name="_Toc505675720"/>
      <w:r>
        <w:rPr>
          <w:rFonts w:hint="eastAsia" w:ascii="宋体" w:hAnsi="宋体" w:eastAsia="宋体" w:cs="宋体"/>
          <w:highlight w:val="none"/>
        </w:rPr>
        <w:t>卖方提供的供货清单</w:t>
      </w:r>
      <w:bookmarkEnd w:id="289"/>
      <w:bookmarkEnd w:id="290"/>
      <w:bookmarkEnd w:id="291"/>
      <w:bookmarkEnd w:id="292"/>
    </w:p>
    <w:p>
      <w:pPr>
        <w:spacing w:line="360" w:lineRule="auto"/>
        <w:ind w:firstLine="420" w:firstLineChars="200"/>
        <w:rPr>
          <w:rFonts w:hint="eastAsia" w:ascii="宋体" w:hAnsi="宋体" w:eastAsia="宋体" w:cs="宋体"/>
        </w:rPr>
      </w:pPr>
      <w:r>
        <w:rPr>
          <w:rFonts w:hint="eastAsia" w:ascii="宋体" w:hAnsi="宋体" w:eastAsia="宋体" w:cs="宋体"/>
        </w:rPr>
        <w:t>卖方应根据招标文件要求提供</w:t>
      </w:r>
      <w:r>
        <w:rPr>
          <w:rFonts w:hint="eastAsia" w:ascii="宋体" w:hAnsi="宋体" w:eastAsia="宋体" w:cs="宋体"/>
          <w:b/>
          <w:u w:val="single"/>
        </w:rPr>
        <w:t>分项提供每台（套）设备必须包含的供货清单</w:t>
      </w:r>
      <w:r>
        <w:rPr>
          <w:rFonts w:hint="eastAsia" w:ascii="宋体" w:hAnsi="宋体" w:eastAsia="宋体" w:cs="宋体"/>
        </w:rPr>
        <w:t>。</w:t>
      </w:r>
    </w:p>
    <w:p>
      <w:pPr>
        <w:spacing w:line="360" w:lineRule="auto"/>
        <w:ind w:firstLine="420" w:firstLineChars="200"/>
        <w:rPr>
          <w:rFonts w:hint="eastAsia" w:ascii="宋体" w:hAnsi="宋体" w:eastAsia="宋体" w:cs="宋体"/>
        </w:rPr>
      </w:pPr>
      <w:r>
        <w:rPr>
          <w:rFonts w:hint="eastAsia" w:ascii="宋体" w:hAnsi="宋体" w:eastAsia="宋体" w:cs="宋体"/>
        </w:rPr>
        <w:t>卖方应认真仔细填写表5-1：供货清单，提供的设备性能和参数不应低于本技术文件的规定，</w:t>
      </w:r>
      <w:r>
        <w:rPr>
          <w:rFonts w:hint="eastAsia" w:ascii="宋体" w:hAnsi="宋体" w:eastAsia="宋体" w:cs="宋体"/>
          <w:b/>
        </w:rPr>
        <w:t>未按表5-1分项提供供货清单的将被认为严重不响应标书要求</w:t>
      </w:r>
      <w:r>
        <w:rPr>
          <w:rFonts w:hint="eastAsia" w:ascii="宋体" w:hAnsi="宋体" w:eastAsia="宋体" w:cs="宋体"/>
        </w:rPr>
        <w:t>。</w:t>
      </w:r>
    </w:p>
    <w:p>
      <w:pPr>
        <w:snapToGrid w:val="0"/>
        <w:spacing w:line="360" w:lineRule="auto"/>
        <w:jc w:val="center"/>
        <w:rPr>
          <w:rFonts w:hint="eastAsia" w:ascii="宋体" w:hAnsi="宋体" w:eastAsia="宋体" w:cs="宋体"/>
          <w:kern w:val="28"/>
          <w:sz w:val="24"/>
          <w:szCs w:val="24"/>
        </w:rPr>
      </w:pPr>
      <w:r>
        <w:rPr>
          <w:rFonts w:hint="eastAsia" w:ascii="宋体" w:hAnsi="宋体" w:eastAsia="宋体" w:cs="宋体"/>
          <w:kern w:val="28"/>
          <w:sz w:val="24"/>
          <w:szCs w:val="24"/>
        </w:rPr>
        <w:t>5-1：供货清单</w:t>
      </w:r>
    </w:p>
    <w:tbl>
      <w:tblPr>
        <w:tblStyle w:val="76"/>
        <w:tblW w:w="4998" w:type="pct"/>
        <w:jc w:val="center"/>
        <w:tblLayout w:type="autofit"/>
        <w:tblCellMar>
          <w:top w:w="0" w:type="dxa"/>
          <w:left w:w="108" w:type="dxa"/>
          <w:bottom w:w="0" w:type="dxa"/>
          <w:right w:w="108" w:type="dxa"/>
        </w:tblCellMar>
      </w:tblPr>
      <w:tblGrid>
        <w:gridCol w:w="551"/>
        <w:gridCol w:w="1856"/>
        <w:gridCol w:w="1649"/>
        <w:gridCol w:w="675"/>
        <w:gridCol w:w="716"/>
        <w:gridCol w:w="850"/>
        <w:gridCol w:w="2097"/>
        <w:gridCol w:w="605"/>
      </w:tblGrid>
      <w:tr>
        <w:tblPrEx>
          <w:tblCellMar>
            <w:top w:w="0" w:type="dxa"/>
            <w:left w:w="108" w:type="dxa"/>
            <w:bottom w:w="0" w:type="dxa"/>
            <w:right w:w="108" w:type="dxa"/>
          </w:tblCellMar>
        </w:tblPrEx>
        <w:trPr>
          <w:trHeight w:val="555" w:hRule="exact"/>
          <w:tblHeader/>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名称</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型号规格</w:t>
            </w: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数量</w:t>
            </w: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原产地</w:t>
            </w: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制造厂</w:t>
            </w: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备注</w:t>
            </w: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一</w:t>
            </w:r>
          </w:p>
        </w:tc>
        <w:tc>
          <w:tcPr>
            <w:tcW w:w="4357" w:type="pct"/>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cs="宋体"/>
                <w:b/>
                <w:sz w:val="21"/>
                <w:szCs w:val="21"/>
                <w:lang w:val="en-US" w:eastAsia="zh-CN"/>
              </w:rPr>
              <w:t>10</w:t>
            </w:r>
            <w:r>
              <w:rPr>
                <w:rFonts w:hint="eastAsia" w:ascii="宋体" w:hAnsi="宋体" w:eastAsia="宋体" w:cs="宋体"/>
                <w:b/>
                <w:sz w:val="21"/>
                <w:szCs w:val="21"/>
              </w:rPr>
              <w:t>kV高压/低压预装式变电站</w:t>
            </w: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变压器本体</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上隔离开关</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eastAsia="zh-CN"/>
              </w:rPr>
            </w:pPr>
            <w:r>
              <w:rPr>
                <w:rFonts w:hint="eastAsia" w:ascii="宋体" w:hAnsi="宋体" w:cs="宋体"/>
                <w:sz w:val="21"/>
                <w:szCs w:val="21"/>
                <w:lang w:val="en-US" w:eastAsia="zh-CN"/>
              </w:rPr>
              <w:t>高压断路器</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下接地开关</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高压附件</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57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bCs/>
                <w:kern w:val="0"/>
                <w:sz w:val="21"/>
                <w:szCs w:val="21"/>
                <w:lang w:val="en-US" w:eastAsia="zh-CN" w:bidi="ar-SA"/>
              </w:rPr>
            </w:pPr>
            <w:r>
              <w:rPr>
                <w:rFonts w:hint="eastAsia" w:ascii="宋体" w:hAnsi="宋体" w:eastAsia="宋体" w:cs="宋体"/>
                <w:bCs/>
                <w:kern w:val="0"/>
                <w:sz w:val="21"/>
                <w:szCs w:val="21"/>
              </w:rPr>
              <w:t>高压</w:t>
            </w:r>
            <w:r>
              <w:rPr>
                <w:rFonts w:hint="eastAsia" w:ascii="宋体" w:hAnsi="宋体" w:eastAsia="宋体" w:cs="宋体"/>
                <w:kern w:val="0"/>
                <w:sz w:val="21"/>
                <w:szCs w:val="21"/>
              </w:rPr>
              <w:t>避雷器（附放电计数器）</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bCs/>
                <w:kern w:val="0"/>
                <w:sz w:val="21"/>
                <w:szCs w:val="21"/>
                <w:lang w:val="en-US" w:eastAsia="zh-CN" w:bidi="ar-SA"/>
              </w:rPr>
            </w:pPr>
            <w:r>
              <w:rPr>
                <w:rFonts w:hint="eastAsia" w:ascii="宋体" w:hAnsi="宋体" w:eastAsia="宋体" w:cs="宋体"/>
                <w:sz w:val="21"/>
                <w:szCs w:val="21"/>
              </w:rPr>
              <w:t>带电显示器</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电磁锁</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75"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525"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cs="宋体"/>
                <w:kern w:val="0"/>
                <w:sz w:val="21"/>
                <w:szCs w:val="21"/>
                <w:lang w:val="en-US" w:eastAsia="zh-CN"/>
              </w:rPr>
              <w:t>框架</w:t>
            </w:r>
            <w:r>
              <w:rPr>
                <w:rFonts w:hint="eastAsia" w:ascii="宋体" w:hAnsi="宋体" w:eastAsia="宋体" w:cs="宋体"/>
                <w:kern w:val="0"/>
                <w:sz w:val="21"/>
                <w:szCs w:val="21"/>
              </w:rPr>
              <w:t>断路器</w:t>
            </w:r>
            <w:r>
              <w:rPr>
                <w:rFonts w:hint="eastAsia" w:ascii="宋体" w:hAnsi="宋体" w:eastAsia="宋体" w:cs="宋体"/>
                <w:sz w:val="21"/>
                <w:szCs w:val="21"/>
              </w:rPr>
              <w:t>（带接地保护）</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75"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微断</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firstLine="420" w:firstLineChars="200"/>
              <w:textAlignment w:val="auto"/>
              <w:rPr>
                <w:rFonts w:hint="eastAsia" w:ascii="宋体" w:hAnsi="宋体" w:eastAsia="宋体" w:cs="宋体"/>
                <w:kern w:val="0"/>
                <w:sz w:val="21"/>
                <w:szCs w:val="21"/>
              </w:rPr>
            </w:pPr>
          </w:p>
        </w:tc>
        <w:tc>
          <w:tcPr>
            <w:tcW w:w="375"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13</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刀熔</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14</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浪涌保护器</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15</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检修照明干变</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16</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UPS</w:t>
            </w:r>
            <w:r>
              <w:rPr>
                <w:rFonts w:hint="eastAsia" w:ascii="宋体" w:hAnsi="宋体" w:cs="宋体"/>
                <w:kern w:val="0"/>
                <w:sz w:val="21"/>
                <w:szCs w:val="21"/>
                <w:lang w:val="en-US" w:eastAsia="zh-CN"/>
              </w:rPr>
              <w:t>电源</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17</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cs="宋体"/>
                <w:kern w:val="0"/>
                <w:sz w:val="21"/>
                <w:szCs w:val="21"/>
                <w:lang w:val="en-US" w:eastAsia="zh-CN"/>
              </w:rPr>
              <w:t>保护</w:t>
            </w:r>
            <w:r>
              <w:rPr>
                <w:rFonts w:hint="eastAsia" w:ascii="宋体" w:hAnsi="宋体" w:eastAsia="宋体" w:cs="宋体"/>
                <w:kern w:val="0"/>
                <w:sz w:val="21"/>
                <w:szCs w:val="21"/>
              </w:rPr>
              <w:t>测控装置</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18</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电流互感器</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19</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电流表</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20</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电压表</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21</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sz w:val="21"/>
                <w:szCs w:val="21"/>
              </w:rPr>
              <w:t>指示灯</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22</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sz w:val="21"/>
                <w:szCs w:val="21"/>
              </w:rPr>
              <w:t>冷却风扇</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left w:val="nil"/>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495"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23</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sz w:val="21"/>
                <w:szCs w:val="21"/>
              </w:rPr>
              <w:t>温湿度智能除湿装置</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24</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风扇控制装置</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25</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sz w:val="21"/>
                <w:szCs w:val="21"/>
              </w:rPr>
              <w:t>照明装置</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26</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低压柜</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bCs/>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27</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铜排</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28</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外壳</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29</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辅材</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二</w:t>
            </w:r>
          </w:p>
        </w:tc>
        <w:tc>
          <w:tcPr>
            <w:tcW w:w="4693" w:type="pct"/>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sz w:val="21"/>
                <w:szCs w:val="21"/>
              </w:rPr>
              <w:t>备品备件</w:t>
            </w: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sz w:val="21"/>
                <w:szCs w:val="21"/>
              </w:rPr>
              <w:t>1</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熔断器</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带电显示器</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031"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高压避雷器</w:t>
            </w:r>
          </w:p>
        </w:tc>
        <w:tc>
          <w:tcPr>
            <w:tcW w:w="916"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nil"/>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低压</w:t>
            </w:r>
            <w:r>
              <w:rPr>
                <w:rFonts w:hint="eastAsia" w:ascii="宋体" w:hAnsi="宋体" w:eastAsia="宋体" w:cs="宋体"/>
                <w:kern w:val="0"/>
                <w:sz w:val="21"/>
                <w:szCs w:val="21"/>
              </w:rPr>
              <w:t>浪涌</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指示灯</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textAlignment w:val="auto"/>
              <w:rPr>
                <w:rFonts w:hint="eastAsia" w:ascii="宋体" w:hAnsi="宋体" w:eastAsia="宋体" w:cs="宋体"/>
                <w:sz w:val="21"/>
                <w:szCs w:val="21"/>
              </w:rPr>
            </w:pP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三</w:t>
            </w:r>
          </w:p>
        </w:tc>
        <w:tc>
          <w:tcPr>
            <w:tcW w:w="4693" w:type="pct"/>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autoSpaceDE w:val="0"/>
              <w:autoSpaceDN w:val="0"/>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专用工具</w:t>
            </w: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门钥匙</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cs="宋体"/>
                <w:sz w:val="21"/>
                <w:szCs w:val="21"/>
                <w:lang w:val="en-US" w:eastAsia="zh-CN"/>
              </w:rPr>
              <w:t>断路器</w:t>
            </w:r>
            <w:r>
              <w:rPr>
                <w:rFonts w:hint="eastAsia" w:ascii="宋体" w:hAnsi="宋体" w:eastAsia="宋体" w:cs="宋体"/>
                <w:sz w:val="21"/>
                <w:szCs w:val="21"/>
              </w:rPr>
              <w:t>操作把手</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接地开关操作把手</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r>
        <w:tblPrEx>
          <w:tblCellMar>
            <w:top w:w="0" w:type="dxa"/>
            <w:left w:w="108" w:type="dxa"/>
            <w:bottom w:w="0" w:type="dxa"/>
            <w:right w:w="108" w:type="dxa"/>
          </w:tblCellMar>
        </w:tblPrEx>
        <w:trPr>
          <w:trHeight w:val="340" w:hRule="exact"/>
          <w:jc w:val="center"/>
        </w:trPr>
        <w:tc>
          <w:tcPr>
            <w:tcW w:w="30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1031"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吊具</w:t>
            </w:r>
          </w:p>
        </w:tc>
        <w:tc>
          <w:tcPr>
            <w:tcW w:w="91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75"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98"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tabs>
                <w:tab w:val="left" w:pos="851"/>
              </w:tabs>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472"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1163"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sz w:val="21"/>
                <w:szCs w:val="21"/>
              </w:rPr>
            </w:pPr>
          </w:p>
        </w:tc>
        <w:tc>
          <w:tcPr>
            <w:tcW w:w="336" w:type="pct"/>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bidi w:val="0"/>
              <w:snapToGrid w:val="0"/>
              <w:spacing w:before="0" w:beforeAutospacing="0" w:after="0" w:afterAutospacing="0" w:line="240" w:lineRule="auto"/>
              <w:ind w:left="0" w:right="0"/>
              <w:jc w:val="center"/>
              <w:textAlignment w:val="auto"/>
              <w:rPr>
                <w:rFonts w:hint="eastAsia" w:ascii="宋体" w:hAnsi="宋体" w:eastAsia="宋体" w:cs="宋体"/>
                <w:kern w:val="0"/>
                <w:sz w:val="21"/>
                <w:szCs w:val="21"/>
              </w:rPr>
            </w:pPr>
          </w:p>
        </w:tc>
      </w:tr>
    </w:tbl>
    <w:p>
      <w:pPr>
        <w:snapToGrid w:val="0"/>
        <w:spacing w:line="360" w:lineRule="auto"/>
        <w:rPr>
          <w:rFonts w:hint="eastAsia" w:ascii="宋体" w:hAnsi="宋体" w:eastAsia="宋体" w:cs="宋体"/>
          <w:b/>
          <w:i/>
          <w:u w:val="single"/>
        </w:rPr>
      </w:pPr>
    </w:p>
    <w:p>
      <w:pPr>
        <w:bidi w:val="0"/>
        <w:rPr>
          <w:rFonts w:hint="eastAsia" w:ascii="宋体" w:hAnsi="宋体" w:eastAsia="宋体" w:cs="宋体"/>
        </w:rPr>
      </w:pPr>
    </w:p>
    <w:p>
      <w:pPr>
        <w:rPr>
          <w:rFonts w:hint="eastAsia" w:ascii="宋体" w:hAnsi="宋体" w:eastAsia="宋体" w:cs="宋体"/>
          <w:lang w:eastAsia="zh-CN"/>
        </w:rPr>
      </w:pPr>
      <w:r>
        <w:rPr>
          <w:rFonts w:hint="eastAsia" w:ascii="宋体" w:hAnsi="宋体" w:eastAsia="宋体" w:cs="宋体"/>
          <w:lang w:eastAsia="zh-CN"/>
        </w:rPr>
        <w:drawing>
          <wp:inline distT="0" distB="0" distL="114300" distR="114300">
            <wp:extent cx="5572125" cy="3977640"/>
            <wp:effectExtent l="0" t="0" r="9525" b="3810"/>
            <wp:docPr id="3" name="图片 3" descr="箱变_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箱变_Page1"/>
                    <pic:cNvPicPr>
                      <a:picLocks noChangeAspect="1"/>
                    </pic:cNvPicPr>
                  </pic:nvPicPr>
                  <pic:blipFill>
                    <a:blip r:embed="rId12"/>
                    <a:stretch>
                      <a:fillRect/>
                    </a:stretch>
                  </pic:blipFill>
                  <pic:spPr>
                    <a:xfrm>
                      <a:off x="0" y="0"/>
                      <a:ext cx="5572125" cy="3977640"/>
                    </a:xfrm>
                    <a:prstGeom prst="rect">
                      <a:avLst/>
                    </a:prstGeom>
                  </pic:spPr>
                </pic:pic>
              </a:graphicData>
            </a:graphic>
          </wp:inline>
        </w:drawing>
      </w:r>
      <w:r>
        <w:rPr>
          <w:rFonts w:hint="eastAsia" w:ascii="宋体" w:hAnsi="宋体" w:eastAsia="宋体" w:cs="宋体"/>
          <w:lang w:eastAsia="zh-CN"/>
        </w:rPr>
        <w:drawing>
          <wp:inline distT="0" distB="0" distL="114300" distR="114300">
            <wp:extent cx="5572125" cy="3977640"/>
            <wp:effectExtent l="0" t="0" r="9525" b="3810"/>
            <wp:docPr id="2" name="图片 2" descr="箱变_P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箱变_Page2"/>
                    <pic:cNvPicPr>
                      <a:picLocks noChangeAspect="1"/>
                    </pic:cNvPicPr>
                  </pic:nvPicPr>
                  <pic:blipFill>
                    <a:blip r:embed="rId13"/>
                    <a:stretch>
                      <a:fillRect/>
                    </a:stretch>
                  </pic:blipFill>
                  <pic:spPr>
                    <a:xfrm>
                      <a:off x="0" y="0"/>
                      <a:ext cx="5572125" cy="3977640"/>
                    </a:xfrm>
                    <a:prstGeom prst="rect">
                      <a:avLst/>
                    </a:prstGeom>
                  </pic:spPr>
                </pic:pic>
              </a:graphicData>
            </a:graphic>
          </wp:inline>
        </w:drawing>
      </w:r>
      <w:r>
        <w:rPr>
          <w:rFonts w:hint="eastAsia" w:ascii="宋体" w:hAnsi="宋体" w:eastAsia="宋体" w:cs="宋体"/>
          <w:lang w:eastAsia="zh-CN"/>
        </w:rPr>
        <w:drawing>
          <wp:inline distT="0" distB="0" distL="114300" distR="114300">
            <wp:extent cx="5572125" cy="3977640"/>
            <wp:effectExtent l="0" t="0" r="9525" b="3810"/>
            <wp:docPr id="1" name="图片 1" descr="箱变_P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箱变_Page3"/>
                    <pic:cNvPicPr>
                      <a:picLocks noChangeAspect="1"/>
                    </pic:cNvPicPr>
                  </pic:nvPicPr>
                  <pic:blipFill>
                    <a:blip r:embed="rId14"/>
                    <a:stretch>
                      <a:fillRect/>
                    </a:stretch>
                  </pic:blipFill>
                  <pic:spPr>
                    <a:xfrm>
                      <a:off x="0" y="0"/>
                      <a:ext cx="5572125" cy="3977640"/>
                    </a:xfrm>
                    <a:prstGeom prst="rect">
                      <a:avLst/>
                    </a:prstGeom>
                  </pic:spPr>
                </pic:pic>
              </a:graphicData>
            </a:graphic>
          </wp:inline>
        </w:drawing>
      </w:r>
    </w:p>
    <w:sectPr>
      <w:headerReference r:id="rId5" w:type="default"/>
      <w:footerReference r:id="rId6" w:type="default"/>
      <w:pgSz w:w="11906" w:h="16838"/>
      <w:pgMar w:top="1440" w:right="1418" w:bottom="1440" w:left="1701" w:header="851" w:footer="992" w:gutter="0"/>
      <w:pgNumType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EU-F1">
    <w:altName w:val="微软雅黑"/>
    <w:panose1 w:val="00000000000000000000"/>
    <w:charset w:val="86"/>
    <w:family w:val="script"/>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E-F1">
    <w:altName w:val="Malgun Gothic"/>
    <w:panose1 w:val="00000000000000000000"/>
    <w:charset w:val="81"/>
    <w:family w:val="roman"/>
    <w:pitch w:val="default"/>
    <w:sig w:usb0="00000000" w:usb1="00000000" w:usb2="00000010" w:usb3="00000000" w:csb0="00080000"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1"/>
    <w:family w:val="roman"/>
    <w:pitch w:val="default"/>
    <w:sig w:usb0="00000000" w:usb1="00000000" w:usb2="00000000" w:usb3="00000000" w:csb0="00040001" w:csb1="00000000"/>
  </w:font>
  <w:font w:name="TimesNewRomanPSMT">
    <w:altName w:val="Times New Roman"/>
    <w:panose1 w:val="00000000000000000000"/>
    <w:charset w:val="00"/>
    <w:family w:val="roman"/>
    <w:pitch w:val="default"/>
    <w:sig w:usb0="00000000" w:usb1="00000000" w:usb2="00000010" w:usb3="00000000" w:csb0="00040001" w:csb1="00000000"/>
  </w:font>
  <w:font w:name="Arial Unicode MS">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MingLiU">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ind w:left="170" w:right="17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jc w:val="center"/>
    </w:pPr>
    <w:r>
      <w:fldChar w:fldCharType="begin"/>
    </w:r>
    <w:r>
      <w:instrText xml:space="preserve">PAGE   \* MERGEFORMAT</w:instrText>
    </w:r>
    <w:r>
      <w:fldChar w:fldCharType="separate"/>
    </w:r>
    <w:r>
      <w:rPr>
        <w:lang w:val="zh-CN"/>
      </w:rPr>
      <w:t>37</w:t>
    </w:r>
    <w:r>
      <w:rPr>
        <w:lang w:val="zh-CN"/>
      </w:rPr>
      <w:fldChar w:fldCharType="end"/>
    </w:r>
  </w:p>
  <w:p>
    <w:pPr>
      <w:pStyle w:val="47"/>
      <w:ind w:left="170" w:right="17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ind w:left="1050" w:right="-80" w:rightChars="-38" w:hanging="1470" w:hangingChars="700"/>
      <w:jc w:val="left"/>
      <w:rPr>
        <w:rFonts w:hAnsi="宋体"/>
        <w:sz w:val="15"/>
        <w:szCs w:val="15"/>
      </w:rPr>
    </w:pPr>
    <w:r>
      <w:rPr>
        <w:rFonts w:hint="eastAsia" w:ascii="宋体" w:hAnsi="宋体" w:eastAsia="宋体" w:cs="宋体"/>
        <w:b w:val="0"/>
        <w:bCs/>
        <w:kern w:val="2"/>
        <w:sz w:val="21"/>
        <w:szCs w:val="21"/>
        <w:highlight w:val="none"/>
        <w:u w:val="none"/>
        <w:lang w:val="en-US" w:eastAsia="zh-CN" w:bidi="ar-SA"/>
      </w:rPr>
      <w:t>江苏甬金金属分布式光伏发电项目</w:t>
    </w:r>
    <w:r>
      <w:rPr>
        <w:rFonts w:hint="eastAsia" w:ascii="宋体" w:hAnsi="宋体" w:eastAsia="宋体" w:cs="宋体"/>
        <w:b w:val="0"/>
        <w:bCs/>
        <w:sz w:val="21"/>
        <w:szCs w:val="21"/>
        <w:highlight w:val="none"/>
        <w:u w:val="none"/>
        <w:lang w:val="en-US" w:eastAsia="zh-CN"/>
      </w:rPr>
      <w:t xml:space="preserve"> </w:t>
    </w:r>
    <w:r>
      <w:rPr>
        <w:rFonts w:hint="eastAsia"/>
        <w:lang w:val="en-US" w:eastAsia="zh-CN"/>
      </w:rPr>
      <w:t xml:space="preserve">               </w:t>
    </w:r>
    <w:r>
      <w:rPr>
        <w:rFonts w:hint="eastAsia" w:ascii="宋体" w:hAnsi="宋体" w:eastAsia="宋体" w:cs="宋体"/>
        <w:b w:val="0"/>
        <w:bCs/>
        <w:kern w:val="2"/>
        <w:sz w:val="21"/>
        <w:szCs w:val="21"/>
        <w:highlight w:val="none"/>
        <w:u w:val="none"/>
        <w:lang w:val="en-US" w:eastAsia="zh-CN" w:bidi="ar-SA"/>
      </w:rPr>
      <w:t xml:space="preserve">            10kV箱式变压器（欧变）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ind w:left="1050" w:right="-80" w:rightChars="-38" w:hanging="1470" w:hangingChars="700"/>
      <w:jc w:val="left"/>
      <w:rPr>
        <w:rFonts w:hAnsi="宋体"/>
        <w:sz w:val="15"/>
        <w:szCs w:val="15"/>
      </w:rPr>
    </w:pPr>
    <w:r>
      <w:rPr>
        <w:rFonts w:hint="eastAsia" w:ascii="宋体" w:hAnsi="宋体" w:eastAsia="宋体" w:cs="宋体"/>
        <w:b w:val="0"/>
        <w:bCs/>
        <w:kern w:val="2"/>
        <w:sz w:val="21"/>
        <w:szCs w:val="21"/>
        <w:highlight w:val="none"/>
        <w:u w:val="none"/>
        <w:lang w:val="en-US" w:eastAsia="zh-CN" w:bidi="ar-SA"/>
      </w:rPr>
      <w:t>江苏甬金金属分布式光伏发电项目</w:t>
    </w:r>
    <w:r>
      <w:rPr>
        <w:rFonts w:hint="eastAsia" w:ascii="宋体" w:hAnsi="宋体" w:eastAsia="宋体" w:cs="宋体"/>
        <w:b w:val="0"/>
        <w:bCs/>
        <w:sz w:val="21"/>
        <w:szCs w:val="21"/>
        <w:highlight w:val="none"/>
        <w:u w:val="none"/>
        <w:lang w:val="en-US" w:eastAsia="zh-CN"/>
      </w:rPr>
      <w:t xml:space="preserve"> </w:t>
    </w:r>
    <w:r>
      <w:rPr>
        <w:rFonts w:hint="eastAsia"/>
        <w:lang w:val="en-US" w:eastAsia="zh-CN"/>
      </w:rPr>
      <w:t xml:space="preserve">               </w:t>
    </w:r>
    <w:r>
      <w:rPr>
        <w:rFonts w:hint="eastAsia" w:ascii="宋体" w:hAnsi="宋体" w:eastAsia="宋体" w:cs="宋体"/>
        <w:b w:val="0"/>
        <w:bCs/>
        <w:kern w:val="2"/>
        <w:sz w:val="21"/>
        <w:szCs w:val="21"/>
        <w:highlight w:val="none"/>
        <w:u w:val="none"/>
        <w:lang w:val="en-US" w:eastAsia="zh-CN" w:bidi="ar-SA"/>
      </w:rPr>
      <w:t xml:space="preserve">            10kV箱式变压器（欧变）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2"/>
      <w:lvlText w:val=""/>
      <w:lvlJc w:val="left"/>
      <w:pPr>
        <w:tabs>
          <w:tab w:val="left" w:pos="502"/>
        </w:tabs>
        <w:ind w:left="502" w:hanging="360"/>
      </w:pPr>
      <w:rPr>
        <w:rFonts w:hint="default" w:ascii="Wingdings" w:hAnsi="Wingdings"/>
      </w:rPr>
    </w:lvl>
  </w:abstractNum>
  <w:abstractNum w:abstractNumId="1">
    <w:nsid w:val="0000001D"/>
    <w:multiLevelType w:val="multilevel"/>
    <w:tmpl w:val="0000001D"/>
    <w:lvl w:ilvl="0" w:tentative="0">
      <w:start w:val="1"/>
      <w:numFmt w:val="bullet"/>
      <w:lvlText w:val=""/>
      <w:lvlJc w:val="left"/>
      <w:pPr>
        <w:tabs>
          <w:tab w:val="left" w:pos="900"/>
        </w:tabs>
        <w:ind w:left="90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41281FD"/>
    <w:multiLevelType w:val="singleLevel"/>
    <w:tmpl w:val="041281FD"/>
    <w:lvl w:ilvl="0" w:tentative="0">
      <w:start w:val="1"/>
      <w:numFmt w:val="decimal"/>
      <w:lvlText w:val="%1."/>
      <w:lvlJc w:val="left"/>
      <w:pPr>
        <w:tabs>
          <w:tab w:val="left" w:pos="312"/>
        </w:tabs>
      </w:pPr>
    </w:lvl>
  </w:abstractNum>
  <w:abstractNum w:abstractNumId="3">
    <w:nsid w:val="31F71F9A"/>
    <w:multiLevelType w:val="multilevel"/>
    <w:tmpl w:val="31F71F9A"/>
    <w:lvl w:ilvl="0" w:tentative="0">
      <w:start w:val="1"/>
      <w:numFmt w:val="none"/>
      <w:pStyle w:val="316"/>
      <w:lvlText w:val="%1——"/>
      <w:lvlJc w:val="left"/>
      <w:pPr>
        <w:tabs>
          <w:tab w:val="left" w:pos="1080"/>
        </w:tabs>
        <w:ind w:left="780" w:hanging="420"/>
      </w:pPr>
      <w:rPr>
        <w:rFonts w:hint="eastAsia"/>
      </w:rPr>
    </w:lvl>
    <w:lvl w:ilvl="1" w:tentative="0">
      <w:start w:val="1"/>
      <w:numFmt w:val="decimal"/>
      <w:lvlText w:val="%2"/>
      <w:lvlJc w:val="left"/>
      <w:pPr>
        <w:tabs>
          <w:tab w:val="left" w:pos="-1560"/>
        </w:tabs>
        <w:ind w:left="-1560" w:hanging="360"/>
      </w:pPr>
      <w:rPr>
        <w:rFonts w:hint="eastAsia"/>
      </w:rPr>
    </w:lvl>
    <w:lvl w:ilvl="2" w:tentative="0">
      <w:start w:val="1"/>
      <w:numFmt w:val="lowerRoman"/>
      <w:lvlText w:val="%3."/>
      <w:lvlJc w:val="right"/>
      <w:pPr>
        <w:tabs>
          <w:tab w:val="left" w:pos="-1080"/>
        </w:tabs>
        <w:ind w:left="-1080" w:hanging="420"/>
      </w:pPr>
    </w:lvl>
    <w:lvl w:ilvl="3" w:tentative="0">
      <w:start w:val="1"/>
      <w:numFmt w:val="decimal"/>
      <w:lvlText w:val="%4."/>
      <w:lvlJc w:val="left"/>
      <w:pPr>
        <w:tabs>
          <w:tab w:val="left" w:pos="-660"/>
        </w:tabs>
        <w:ind w:left="-660" w:hanging="420"/>
      </w:pPr>
    </w:lvl>
    <w:lvl w:ilvl="4" w:tentative="0">
      <w:start w:val="4"/>
      <w:numFmt w:val="decimal"/>
      <w:lvlText w:val="%5．"/>
      <w:lvlJc w:val="left"/>
      <w:pPr>
        <w:tabs>
          <w:tab w:val="left" w:pos="360"/>
        </w:tabs>
        <w:ind w:left="360" w:hanging="360"/>
      </w:pPr>
      <w:rPr>
        <w:rFonts w:hint="default"/>
      </w:rPr>
    </w:lvl>
    <w:lvl w:ilvl="5" w:tentative="0">
      <w:start w:val="5"/>
      <w:numFmt w:val="decimal"/>
      <w:lvlText w:val="%6．"/>
      <w:lvlJc w:val="left"/>
      <w:pPr>
        <w:tabs>
          <w:tab w:val="left" w:pos="120"/>
        </w:tabs>
        <w:ind w:left="120" w:hanging="360"/>
      </w:pPr>
      <w:rPr>
        <w:rFonts w:hint="default"/>
      </w:rPr>
    </w:lvl>
    <w:lvl w:ilvl="6" w:tentative="0">
      <w:start w:val="1"/>
      <w:numFmt w:val="decimal"/>
      <w:lvlText w:val="%7."/>
      <w:lvlJc w:val="left"/>
      <w:pPr>
        <w:tabs>
          <w:tab w:val="left" w:pos="600"/>
        </w:tabs>
        <w:ind w:left="600" w:hanging="420"/>
      </w:pPr>
    </w:lvl>
    <w:lvl w:ilvl="7" w:tentative="0">
      <w:start w:val="1"/>
      <w:numFmt w:val="lowerLetter"/>
      <w:lvlText w:val="%8)"/>
      <w:lvlJc w:val="left"/>
      <w:pPr>
        <w:tabs>
          <w:tab w:val="left" w:pos="1020"/>
        </w:tabs>
        <w:ind w:left="1020" w:hanging="420"/>
      </w:pPr>
    </w:lvl>
    <w:lvl w:ilvl="8" w:tentative="0">
      <w:start w:val="1"/>
      <w:numFmt w:val="lowerRoman"/>
      <w:lvlText w:val="%9."/>
      <w:lvlJc w:val="right"/>
      <w:pPr>
        <w:tabs>
          <w:tab w:val="left" w:pos="1440"/>
        </w:tabs>
        <w:ind w:left="1440" w:hanging="420"/>
      </w:pPr>
    </w:lvl>
  </w:abstractNum>
  <w:abstractNum w:abstractNumId="4">
    <w:nsid w:val="35B52225"/>
    <w:multiLevelType w:val="multilevel"/>
    <w:tmpl w:val="35B52225"/>
    <w:lvl w:ilvl="0" w:tentative="0">
      <w:start w:val="1"/>
      <w:numFmt w:val="lowerLetter"/>
      <w:lvlText w:val="%1）"/>
      <w:lvlJc w:val="left"/>
      <w:pPr>
        <w:ind w:left="1199" w:hanging="360"/>
      </w:pPr>
      <w:rPr>
        <w:rFonts w:hint="default"/>
      </w:rPr>
    </w:lvl>
    <w:lvl w:ilvl="1" w:tentative="0">
      <w:start w:val="1"/>
      <w:numFmt w:val="lowerLetter"/>
      <w:lvlText w:val="%2)"/>
      <w:lvlJc w:val="left"/>
      <w:pPr>
        <w:ind w:left="1679" w:hanging="420"/>
      </w:pPr>
    </w:lvl>
    <w:lvl w:ilvl="2" w:tentative="0">
      <w:start w:val="1"/>
      <w:numFmt w:val="lowerRoman"/>
      <w:lvlText w:val="%3."/>
      <w:lvlJc w:val="right"/>
      <w:pPr>
        <w:ind w:left="2099" w:hanging="420"/>
      </w:pPr>
    </w:lvl>
    <w:lvl w:ilvl="3" w:tentative="0">
      <w:start w:val="1"/>
      <w:numFmt w:val="decimal"/>
      <w:lvlText w:val="%4."/>
      <w:lvlJc w:val="left"/>
      <w:pPr>
        <w:ind w:left="2519" w:hanging="420"/>
      </w:pPr>
    </w:lvl>
    <w:lvl w:ilvl="4" w:tentative="0">
      <w:start w:val="1"/>
      <w:numFmt w:val="lowerLetter"/>
      <w:lvlText w:val="%5)"/>
      <w:lvlJc w:val="left"/>
      <w:pPr>
        <w:ind w:left="2939" w:hanging="420"/>
      </w:pPr>
    </w:lvl>
    <w:lvl w:ilvl="5" w:tentative="0">
      <w:start w:val="1"/>
      <w:numFmt w:val="lowerRoman"/>
      <w:lvlText w:val="%6."/>
      <w:lvlJc w:val="right"/>
      <w:pPr>
        <w:ind w:left="3359" w:hanging="420"/>
      </w:pPr>
    </w:lvl>
    <w:lvl w:ilvl="6" w:tentative="0">
      <w:start w:val="1"/>
      <w:numFmt w:val="decimal"/>
      <w:lvlText w:val="%7."/>
      <w:lvlJc w:val="left"/>
      <w:pPr>
        <w:ind w:left="3779" w:hanging="420"/>
      </w:pPr>
    </w:lvl>
    <w:lvl w:ilvl="7" w:tentative="0">
      <w:start w:val="1"/>
      <w:numFmt w:val="lowerLetter"/>
      <w:lvlText w:val="%8)"/>
      <w:lvlJc w:val="left"/>
      <w:pPr>
        <w:ind w:left="4199" w:hanging="420"/>
      </w:pPr>
    </w:lvl>
    <w:lvl w:ilvl="8" w:tentative="0">
      <w:start w:val="1"/>
      <w:numFmt w:val="lowerRoman"/>
      <w:lvlText w:val="%9."/>
      <w:lvlJc w:val="right"/>
      <w:pPr>
        <w:ind w:left="4619"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63"/>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VhODk1NjE0NzdjZTNhMTliOTUxZmEwOTM3NWU3YWYifQ=="/>
  </w:docVars>
  <w:rsids>
    <w:rsidRoot w:val="003169E0"/>
    <w:rsid w:val="000029BB"/>
    <w:rsid w:val="00003729"/>
    <w:rsid w:val="00005359"/>
    <w:rsid w:val="0000615A"/>
    <w:rsid w:val="000067A1"/>
    <w:rsid w:val="000130D1"/>
    <w:rsid w:val="00013550"/>
    <w:rsid w:val="0001519A"/>
    <w:rsid w:val="00015C34"/>
    <w:rsid w:val="00021081"/>
    <w:rsid w:val="00027A96"/>
    <w:rsid w:val="000303AF"/>
    <w:rsid w:val="000321B1"/>
    <w:rsid w:val="00040B24"/>
    <w:rsid w:val="00041982"/>
    <w:rsid w:val="00043F48"/>
    <w:rsid w:val="00046A61"/>
    <w:rsid w:val="00052FD8"/>
    <w:rsid w:val="00061D9C"/>
    <w:rsid w:val="00062264"/>
    <w:rsid w:val="00063342"/>
    <w:rsid w:val="00064DED"/>
    <w:rsid w:val="00067175"/>
    <w:rsid w:val="0006783B"/>
    <w:rsid w:val="000719AA"/>
    <w:rsid w:val="00080DBB"/>
    <w:rsid w:val="000904B5"/>
    <w:rsid w:val="000923D2"/>
    <w:rsid w:val="00095396"/>
    <w:rsid w:val="00096252"/>
    <w:rsid w:val="00096C1A"/>
    <w:rsid w:val="00097A37"/>
    <w:rsid w:val="000A3DD1"/>
    <w:rsid w:val="000A5BE3"/>
    <w:rsid w:val="000A6ABE"/>
    <w:rsid w:val="000A7C96"/>
    <w:rsid w:val="000B0A39"/>
    <w:rsid w:val="000B18C1"/>
    <w:rsid w:val="000B4FE9"/>
    <w:rsid w:val="000B519E"/>
    <w:rsid w:val="000B5D00"/>
    <w:rsid w:val="000C1E98"/>
    <w:rsid w:val="000C36BB"/>
    <w:rsid w:val="000C3B96"/>
    <w:rsid w:val="000D13AB"/>
    <w:rsid w:val="000D2143"/>
    <w:rsid w:val="000D33DD"/>
    <w:rsid w:val="000D41D4"/>
    <w:rsid w:val="000D54E7"/>
    <w:rsid w:val="000D676D"/>
    <w:rsid w:val="000D76F0"/>
    <w:rsid w:val="000E18CC"/>
    <w:rsid w:val="000E22A0"/>
    <w:rsid w:val="000E24A0"/>
    <w:rsid w:val="000E48DD"/>
    <w:rsid w:val="000E7A3F"/>
    <w:rsid w:val="000F09C1"/>
    <w:rsid w:val="000F0F06"/>
    <w:rsid w:val="000F3434"/>
    <w:rsid w:val="00100B81"/>
    <w:rsid w:val="0010126D"/>
    <w:rsid w:val="00105307"/>
    <w:rsid w:val="00106256"/>
    <w:rsid w:val="001074C7"/>
    <w:rsid w:val="00115651"/>
    <w:rsid w:val="00116E0D"/>
    <w:rsid w:val="0011755A"/>
    <w:rsid w:val="0011771D"/>
    <w:rsid w:val="001215A6"/>
    <w:rsid w:val="00122495"/>
    <w:rsid w:val="001228E4"/>
    <w:rsid w:val="00126BF7"/>
    <w:rsid w:val="00130CEE"/>
    <w:rsid w:val="001315C4"/>
    <w:rsid w:val="001318EF"/>
    <w:rsid w:val="0013407D"/>
    <w:rsid w:val="00134F55"/>
    <w:rsid w:val="00137002"/>
    <w:rsid w:val="001374D1"/>
    <w:rsid w:val="001420BB"/>
    <w:rsid w:val="00143C7C"/>
    <w:rsid w:val="0014433E"/>
    <w:rsid w:val="00145368"/>
    <w:rsid w:val="00151B3F"/>
    <w:rsid w:val="00154702"/>
    <w:rsid w:val="001548B0"/>
    <w:rsid w:val="0016013F"/>
    <w:rsid w:val="00160B75"/>
    <w:rsid w:val="00162762"/>
    <w:rsid w:val="00166E57"/>
    <w:rsid w:val="00171107"/>
    <w:rsid w:val="00172820"/>
    <w:rsid w:val="00173E14"/>
    <w:rsid w:val="00173E7D"/>
    <w:rsid w:val="00175C6B"/>
    <w:rsid w:val="001773CF"/>
    <w:rsid w:val="00183156"/>
    <w:rsid w:val="00183600"/>
    <w:rsid w:val="00185222"/>
    <w:rsid w:val="00192993"/>
    <w:rsid w:val="00194756"/>
    <w:rsid w:val="00194D6F"/>
    <w:rsid w:val="00195D88"/>
    <w:rsid w:val="001A1887"/>
    <w:rsid w:val="001A5AF0"/>
    <w:rsid w:val="001B21D3"/>
    <w:rsid w:val="001B35D5"/>
    <w:rsid w:val="001B3ED3"/>
    <w:rsid w:val="001B596E"/>
    <w:rsid w:val="001B6FC6"/>
    <w:rsid w:val="001C18E5"/>
    <w:rsid w:val="001C1C7D"/>
    <w:rsid w:val="001C4074"/>
    <w:rsid w:val="001C5119"/>
    <w:rsid w:val="001C6FD8"/>
    <w:rsid w:val="001D0AC0"/>
    <w:rsid w:val="001D46DF"/>
    <w:rsid w:val="001D4F03"/>
    <w:rsid w:val="001D6DEC"/>
    <w:rsid w:val="001E030A"/>
    <w:rsid w:val="001E202C"/>
    <w:rsid w:val="001E2B4D"/>
    <w:rsid w:val="001E2DAE"/>
    <w:rsid w:val="001F001C"/>
    <w:rsid w:val="001F0701"/>
    <w:rsid w:val="001F1167"/>
    <w:rsid w:val="001F7663"/>
    <w:rsid w:val="00201A4B"/>
    <w:rsid w:val="002027C8"/>
    <w:rsid w:val="00203FFB"/>
    <w:rsid w:val="0020490D"/>
    <w:rsid w:val="00206D27"/>
    <w:rsid w:val="00207E9C"/>
    <w:rsid w:val="00210648"/>
    <w:rsid w:val="00212D21"/>
    <w:rsid w:val="00213123"/>
    <w:rsid w:val="00222527"/>
    <w:rsid w:val="00222B81"/>
    <w:rsid w:val="00223030"/>
    <w:rsid w:val="0022439F"/>
    <w:rsid w:val="0022570B"/>
    <w:rsid w:val="00234342"/>
    <w:rsid w:val="00236032"/>
    <w:rsid w:val="00243A9B"/>
    <w:rsid w:val="00244486"/>
    <w:rsid w:val="00246225"/>
    <w:rsid w:val="00247190"/>
    <w:rsid w:val="002478B5"/>
    <w:rsid w:val="00247C3C"/>
    <w:rsid w:val="002512C5"/>
    <w:rsid w:val="002524F0"/>
    <w:rsid w:val="002530C3"/>
    <w:rsid w:val="00254482"/>
    <w:rsid w:val="00257ECA"/>
    <w:rsid w:val="00260A73"/>
    <w:rsid w:val="00262967"/>
    <w:rsid w:val="002670C3"/>
    <w:rsid w:val="00267C29"/>
    <w:rsid w:val="00272886"/>
    <w:rsid w:val="00275D09"/>
    <w:rsid w:val="0027715A"/>
    <w:rsid w:val="002820E2"/>
    <w:rsid w:val="00283C9E"/>
    <w:rsid w:val="00284A1B"/>
    <w:rsid w:val="00284B05"/>
    <w:rsid w:val="002867D8"/>
    <w:rsid w:val="002879CC"/>
    <w:rsid w:val="0029590E"/>
    <w:rsid w:val="00297906"/>
    <w:rsid w:val="002A1B1C"/>
    <w:rsid w:val="002A244E"/>
    <w:rsid w:val="002A4881"/>
    <w:rsid w:val="002B0EB2"/>
    <w:rsid w:val="002B152C"/>
    <w:rsid w:val="002B35B4"/>
    <w:rsid w:val="002B4846"/>
    <w:rsid w:val="002B5D4D"/>
    <w:rsid w:val="002B690D"/>
    <w:rsid w:val="002C0244"/>
    <w:rsid w:val="002C5C81"/>
    <w:rsid w:val="002C65BE"/>
    <w:rsid w:val="002D1257"/>
    <w:rsid w:val="002D209E"/>
    <w:rsid w:val="002D7021"/>
    <w:rsid w:val="002D7F2C"/>
    <w:rsid w:val="002E1DE1"/>
    <w:rsid w:val="002E4F96"/>
    <w:rsid w:val="002E5705"/>
    <w:rsid w:val="002E6831"/>
    <w:rsid w:val="002E6E87"/>
    <w:rsid w:val="002F0F9A"/>
    <w:rsid w:val="002F101B"/>
    <w:rsid w:val="00302DEE"/>
    <w:rsid w:val="00303DAD"/>
    <w:rsid w:val="00310F55"/>
    <w:rsid w:val="00312449"/>
    <w:rsid w:val="00312BA1"/>
    <w:rsid w:val="003138EF"/>
    <w:rsid w:val="003164C3"/>
    <w:rsid w:val="003169E0"/>
    <w:rsid w:val="00317076"/>
    <w:rsid w:val="00320AF5"/>
    <w:rsid w:val="00320DD1"/>
    <w:rsid w:val="00320E4D"/>
    <w:rsid w:val="00322F8F"/>
    <w:rsid w:val="003254DB"/>
    <w:rsid w:val="00326F7E"/>
    <w:rsid w:val="00327D6A"/>
    <w:rsid w:val="00330F0D"/>
    <w:rsid w:val="00334867"/>
    <w:rsid w:val="00336106"/>
    <w:rsid w:val="00340E1A"/>
    <w:rsid w:val="00341BAE"/>
    <w:rsid w:val="00342CD8"/>
    <w:rsid w:val="00343D9F"/>
    <w:rsid w:val="0035389F"/>
    <w:rsid w:val="003548A6"/>
    <w:rsid w:val="00361537"/>
    <w:rsid w:val="00362A9F"/>
    <w:rsid w:val="00366285"/>
    <w:rsid w:val="003713C1"/>
    <w:rsid w:val="00371ABD"/>
    <w:rsid w:val="00372E99"/>
    <w:rsid w:val="0037660B"/>
    <w:rsid w:val="00376862"/>
    <w:rsid w:val="00380B54"/>
    <w:rsid w:val="003811F6"/>
    <w:rsid w:val="003834E6"/>
    <w:rsid w:val="00393000"/>
    <w:rsid w:val="003948B7"/>
    <w:rsid w:val="00396376"/>
    <w:rsid w:val="00396943"/>
    <w:rsid w:val="00396A95"/>
    <w:rsid w:val="00397B23"/>
    <w:rsid w:val="003A0C40"/>
    <w:rsid w:val="003A329A"/>
    <w:rsid w:val="003A486A"/>
    <w:rsid w:val="003A492C"/>
    <w:rsid w:val="003A4CE0"/>
    <w:rsid w:val="003B1A08"/>
    <w:rsid w:val="003C06B2"/>
    <w:rsid w:val="003C13BB"/>
    <w:rsid w:val="003C3524"/>
    <w:rsid w:val="003D1D60"/>
    <w:rsid w:val="003D3EA0"/>
    <w:rsid w:val="003D4285"/>
    <w:rsid w:val="003D46CC"/>
    <w:rsid w:val="003D4850"/>
    <w:rsid w:val="003E062F"/>
    <w:rsid w:val="003E0C61"/>
    <w:rsid w:val="003E7B5C"/>
    <w:rsid w:val="003F0D09"/>
    <w:rsid w:val="003F2E8E"/>
    <w:rsid w:val="003F3570"/>
    <w:rsid w:val="003F6645"/>
    <w:rsid w:val="003F7D7E"/>
    <w:rsid w:val="00401EDC"/>
    <w:rsid w:val="00404C9D"/>
    <w:rsid w:val="00404FE1"/>
    <w:rsid w:val="00411D67"/>
    <w:rsid w:val="004123B1"/>
    <w:rsid w:val="00412749"/>
    <w:rsid w:val="0041751C"/>
    <w:rsid w:val="00425859"/>
    <w:rsid w:val="0042718C"/>
    <w:rsid w:val="00427565"/>
    <w:rsid w:val="00431607"/>
    <w:rsid w:val="00431C6D"/>
    <w:rsid w:val="004337E7"/>
    <w:rsid w:val="004340F5"/>
    <w:rsid w:val="00435E22"/>
    <w:rsid w:val="004405DA"/>
    <w:rsid w:val="00441881"/>
    <w:rsid w:val="00442005"/>
    <w:rsid w:val="004424A8"/>
    <w:rsid w:val="0044264B"/>
    <w:rsid w:val="004429C6"/>
    <w:rsid w:val="00442A05"/>
    <w:rsid w:val="00443BBC"/>
    <w:rsid w:val="00445127"/>
    <w:rsid w:val="004452AB"/>
    <w:rsid w:val="004458BC"/>
    <w:rsid w:val="00445C94"/>
    <w:rsid w:val="00450D63"/>
    <w:rsid w:val="0045140E"/>
    <w:rsid w:val="00451F11"/>
    <w:rsid w:val="0045252D"/>
    <w:rsid w:val="0045300B"/>
    <w:rsid w:val="004572ED"/>
    <w:rsid w:val="00457E87"/>
    <w:rsid w:val="00461057"/>
    <w:rsid w:val="004631E0"/>
    <w:rsid w:val="0046362A"/>
    <w:rsid w:val="00463E50"/>
    <w:rsid w:val="0046463F"/>
    <w:rsid w:val="00467EFD"/>
    <w:rsid w:val="004700E6"/>
    <w:rsid w:val="00472F77"/>
    <w:rsid w:val="004754BF"/>
    <w:rsid w:val="00480C92"/>
    <w:rsid w:val="00481CB8"/>
    <w:rsid w:val="004900AD"/>
    <w:rsid w:val="0049094C"/>
    <w:rsid w:val="00496CF2"/>
    <w:rsid w:val="004A05B9"/>
    <w:rsid w:val="004A0936"/>
    <w:rsid w:val="004A1CF0"/>
    <w:rsid w:val="004A6200"/>
    <w:rsid w:val="004A625A"/>
    <w:rsid w:val="004B0E66"/>
    <w:rsid w:val="004B0FE0"/>
    <w:rsid w:val="004B1180"/>
    <w:rsid w:val="004B1AF5"/>
    <w:rsid w:val="004B6F18"/>
    <w:rsid w:val="004C1DDE"/>
    <w:rsid w:val="004C2E01"/>
    <w:rsid w:val="004C5B7F"/>
    <w:rsid w:val="004D0EAF"/>
    <w:rsid w:val="004D22C5"/>
    <w:rsid w:val="004D4725"/>
    <w:rsid w:val="004E0F96"/>
    <w:rsid w:val="004E186E"/>
    <w:rsid w:val="004E2782"/>
    <w:rsid w:val="004E41C9"/>
    <w:rsid w:val="004E4B62"/>
    <w:rsid w:val="004F46A3"/>
    <w:rsid w:val="004F47E3"/>
    <w:rsid w:val="004F4F57"/>
    <w:rsid w:val="004F65A4"/>
    <w:rsid w:val="005005AD"/>
    <w:rsid w:val="00500872"/>
    <w:rsid w:val="00501281"/>
    <w:rsid w:val="00502A73"/>
    <w:rsid w:val="00502E0D"/>
    <w:rsid w:val="00502E87"/>
    <w:rsid w:val="005048C4"/>
    <w:rsid w:val="00504D1B"/>
    <w:rsid w:val="00505DC9"/>
    <w:rsid w:val="00507336"/>
    <w:rsid w:val="00507ED9"/>
    <w:rsid w:val="00507FB3"/>
    <w:rsid w:val="00516BCF"/>
    <w:rsid w:val="00520218"/>
    <w:rsid w:val="00522D4D"/>
    <w:rsid w:val="005245CB"/>
    <w:rsid w:val="0052633F"/>
    <w:rsid w:val="005263DD"/>
    <w:rsid w:val="00526A19"/>
    <w:rsid w:val="005300E0"/>
    <w:rsid w:val="00530127"/>
    <w:rsid w:val="00530407"/>
    <w:rsid w:val="005304B3"/>
    <w:rsid w:val="005366EA"/>
    <w:rsid w:val="00536EF7"/>
    <w:rsid w:val="00537C8B"/>
    <w:rsid w:val="00541B0F"/>
    <w:rsid w:val="00541F72"/>
    <w:rsid w:val="00542505"/>
    <w:rsid w:val="0054272E"/>
    <w:rsid w:val="00543195"/>
    <w:rsid w:val="00543780"/>
    <w:rsid w:val="00543FC7"/>
    <w:rsid w:val="0054451F"/>
    <w:rsid w:val="00544E9A"/>
    <w:rsid w:val="005459E1"/>
    <w:rsid w:val="00545DF9"/>
    <w:rsid w:val="005467B7"/>
    <w:rsid w:val="00546A1F"/>
    <w:rsid w:val="005519B4"/>
    <w:rsid w:val="00555AC7"/>
    <w:rsid w:val="00557336"/>
    <w:rsid w:val="00557867"/>
    <w:rsid w:val="0056001D"/>
    <w:rsid w:val="00564523"/>
    <w:rsid w:val="00567EDD"/>
    <w:rsid w:val="00570E02"/>
    <w:rsid w:val="00571061"/>
    <w:rsid w:val="00571A72"/>
    <w:rsid w:val="00573BB4"/>
    <w:rsid w:val="0057440B"/>
    <w:rsid w:val="005773D6"/>
    <w:rsid w:val="00580584"/>
    <w:rsid w:val="00580F5C"/>
    <w:rsid w:val="00583CDF"/>
    <w:rsid w:val="00583E74"/>
    <w:rsid w:val="00583F93"/>
    <w:rsid w:val="00584172"/>
    <w:rsid w:val="005843CF"/>
    <w:rsid w:val="00585BF2"/>
    <w:rsid w:val="00590D70"/>
    <w:rsid w:val="00591F32"/>
    <w:rsid w:val="005942DB"/>
    <w:rsid w:val="00594657"/>
    <w:rsid w:val="00594CEC"/>
    <w:rsid w:val="00595287"/>
    <w:rsid w:val="005A15C1"/>
    <w:rsid w:val="005A2099"/>
    <w:rsid w:val="005A2B09"/>
    <w:rsid w:val="005A33D0"/>
    <w:rsid w:val="005A4534"/>
    <w:rsid w:val="005B4D0C"/>
    <w:rsid w:val="005C2135"/>
    <w:rsid w:val="005C27CF"/>
    <w:rsid w:val="005C39E4"/>
    <w:rsid w:val="005C6084"/>
    <w:rsid w:val="005C6F14"/>
    <w:rsid w:val="005E26E6"/>
    <w:rsid w:val="005E5F40"/>
    <w:rsid w:val="005E6B1C"/>
    <w:rsid w:val="005E71A7"/>
    <w:rsid w:val="005F137C"/>
    <w:rsid w:val="005F549C"/>
    <w:rsid w:val="006002B7"/>
    <w:rsid w:val="006006FE"/>
    <w:rsid w:val="00601249"/>
    <w:rsid w:val="006035DC"/>
    <w:rsid w:val="00604D4B"/>
    <w:rsid w:val="00607988"/>
    <w:rsid w:val="00607E73"/>
    <w:rsid w:val="00610C35"/>
    <w:rsid w:val="006132FF"/>
    <w:rsid w:val="00613528"/>
    <w:rsid w:val="00614920"/>
    <w:rsid w:val="00614E51"/>
    <w:rsid w:val="00615541"/>
    <w:rsid w:val="0061665D"/>
    <w:rsid w:val="00616C62"/>
    <w:rsid w:val="006222B9"/>
    <w:rsid w:val="00624E38"/>
    <w:rsid w:val="00626D91"/>
    <w:rsid w:val="0063019D"/>
    <w:rsid w:val="00633CD7"/>
    <w:rsid w:val="00643510"/>
    <w:rsid w:val="0064463C"/>
    <w:rsid w:val="00647182"/>
    <w:rsid w:val="00650205"/>
    <w:rsid w:val="00655FAC"/>
    <w:rsid w:val="006571DB"/>
    <w:rsid w:val="006606B5"/>
    <w:rsid w:val="00661DE6"/>
    <w:rsid w:val="00662332"/>
    <w:rsid w:val="00665EF8"/>
    <w:rsid w:val="00666B5E"/>
    <w:rsid w:val="00670705"/>
    <w:rsid w:val="006720DA"/>
    <w:rsid w:val="00672CCB"/>
    <w:rsid w:val="006730A5"/>
    <w:rsid w:val="006731F0"/>
    <w:rsid w:val="00673546"/>
    <w:rsid w:val="006748CC"/>
    <w:rsid w:val="006767EF"/>
    <w:rsid w:val="00676E3C"/>
    <w:rsid w:val="00677805"/>
    <w:rsid w:val="006815FA"/>
    <w:rsid w:val="006854B6"/>
    <w:rsid w:val="00687DC9"/>
    <w:rsid w:val="00692E4F"/>
    <w:rsid w:val="006A0080"/>
    <w:rsid w:val="006A2715"/>
    <w:rsid w:val="006A349B"/>
    <w:rsid w:val="006A350B"/>
    <w:rsid w:val="006A3C16"/>
    <w:rsid w:val="006A5105"/>
    <w:rsid w:val="006A54CC"/>
    <w:rsid w:val="006B39BC"/>
    <w:rsid w:val="006B463D"/>
    <w:rsid w:val="006B56E4"/>
    <w:rsid w:val="006B7904"/>
    <w:rsid w:val="006C09CA"/>
    <w:rsid w:val="006C0C36"/>
    <w:rsid w:val="006C27BC"/>
    <w:rsid w:val="006C33C7"/>
    <w:rsid w:val="006C3CEC"/>
    <w:rsid w:val="006C6E5F"/>
    <w:rsid w:val="006D38B6"/>
    <w:rsid w:val="006D40E8"/>
    <w:rsid w:val="006D4C3B"/>
    <w:rsid w:val="006D5332"/>
    <w:rsid w:val="006D6D4F"/>
    <w:rsid w:val="006E4936"/>
    <w:rsid w:val="006E5C9A"/>
    <w:rsid w:val="006F05C2"/>
    <w:rsid w:val="006F06DB"/>
    <w:rsid w:val="006F32C9"/>
    <w:rsid w:val="006F44DC"/>
    <w:rsid w:val="006F5036"/>
    <w:rsid w:val="006F7F5E"/>
    <w:rsid w:val="00702FF4"/>
    <w:rsid w:val="00704AB7"/>
    <w:rsid w:val="00713A29"/>
    <w:rsid w:val="00714FD6"/>
    <w:rsid w:val="00716756"/>
    <w:rsid w:val="007178DA"/>
    <w:rsid w:val="0072067E"/>
    <w:rsid w:val="0072075D"/>
    <w:rsid w:val="00721BA5"/>
    <w:rsid w:val="00724AD1"/>
    <w:rsid w:val="00724E45"/>
    <w:rsid w:val="00732B70"/>
    <w:rsid w:val="00735829"/>
    <w:rsid w:val="00735F6E"/>
    <w:rsid w:val="0073723C"/>
    <w:rsid w:val="00740AF5"/>
    <w:rsid w:val="00741203"/>
    <w:rsid w:val="00741279"/>
    <w:rsid w:val="00743865"/>
    <w:rsid w:val="00744BC3"/>
    <w:rsid w:val="00746337"/>
    <w:rsid w:val="007476D4"/>
    <w:rsid w:val="007507D6"/>
    <w:rsid w:val="00753DE0"/>
    <w:rsid w:val="007559EA"/>
    <w:rsid w:val="00756ADC"/>
    <w:rsid w:val="00761473"/>
    <w:rsid w:val="00761D01"/>
    <w:rsid w:val="00764494"/>
    <w:rsid w:val="00767E63"/>
    <w:rsid w:val="007709E9"/>
    <w:rsid w:val="00774365"/>
    <w:rsid w:val="007767D0"/>
    <w:rsid w:val="007816F0"/>
    <w:rsid w:val="00782B60"/>
    <w:rsid w:val="00783A0C"/>
    <w:rsid w:val="00784D5B"/>
    <w:rsid w:val="00785015"/>
    <w:rsid w:val="0078748E"/>
    <w:rsid w:val="007875C8"/>
    <w:rsid w:val="00787E2C"/>
    <w:rsid w:val="007917E4"/>
    <w:rsid w:val="00791EE8"/>
    <w:rsid w:val="007972F8"/>
    <w:rsid w:val="007A1172"/>
    <w:rsid w:val="007A1419"/>
    <w:rsid w:val="007A3DB3"/>
    <w:rsid w:val="007B2934"/>
    <w:rsid w:val="007B3B53"/>
    <w:rsid w:val="007B4C25"/>
    <w:rsid w:val="007B519D"/>
    <w:rsid w:val="007B6FB9"/>
    <w:rsid w:val="007C04A5"/>
    <w:rsid w:val="007C0B4E"/>
    <w:rsid w:val="007C104A"/>
    <w:rsid w:val="007C2A9E"/>
    <w:rsid w:val="007C3081"/>
    <w:rsid w:val="007C4754"/>
    <w:rsid w:val="007C586C"/>
    <w:rsid w:val="007C5C42"/>
    <w:rsid w:val="007C6706"/>
    <w:rsid w:val="007C7F7B"/>
    <w:rsid w:val="007D42C0"/>
    <w:rsid w:val="007D4561"/>
    <w:rsid w:val="007D49A3"/>
    <w:rsid w:val="007E05E1"/>
    <w:rsid w:val="007E1843"/>
    <w:rsid w:val="007F473F"/>
    <w:rsid w:val="007F56BD"/>
    <w:rsid w:val="007F6FA1"/>
    <w:rsid w:val="007F73DA"/>
    <w:rsid w:val="007F7C66"/>
    <w:rsid w:val="00804B3D"/>
    <w:rsid w:val="008064CE"/>
    <w:rsid w:val="00807C15"/>
    <w:rsid w:val="00811859"/>
    <w:rsid w:val="00812F22"/>
    <w:rsid w:val="0081600E"/>
    <w:rsid w:val="00816AD8"/>
    <w:rsid w:val="00821A51"/>
    <w:rsid w:val="008220A4"/>
    <w:rsid w:val="00823E4F"/>
    <w:rsid w:val="00824E9A"/>
    <w:rsid w:val="00827895"/>
    <w:rsid w:val="00836FC6"/>
    <w:rsid w:val="008377AB"/>
    <w:rsid w:val="008459A0"/>
    <w:rsid w:val="0084658D"/>
    <w:rsid w:val="00847D36"/>
    <w:rsid w:val="00850D9F"/>
    <w:rsid w:val="00851503"/>
    <w:rsid w:val="00855E68"/>
    <w:rsid w:val="00860AC5"/>
    <w:rsid w:val="00863AED"/>
    <w:rsid w:val="00863F6C"/>
    <w:rsid w:val="00865DF2"/>
    <w:rsid w:val="00867997"/>
    <w:rsid w:val="00870669"/>
    <w:rsid w:val="00870ABD"/>
    <w:rsid w:val="00875AD6"/>
    <w:rsid w:val="00875D23"/>
    <w:rsid w:val="0087633E"/>
    <w:rsid w:val="008779D6"/>
    <w:rsid w:val="008810A3"/>
    <w:rsid w:val="00885860"/>
    <w:rsid w:val="0089056C"/>
    <w:rsid w:val="00890C09"/>
    <w:rsid w:val="00890C39"/>
    <w:rsid w:val="00893FB4"/>
    <w:rsid w:val="008959B5"/>
    <w:rsid w:val="008A1598"/>
    <w:rsid w:val="008A354C"/>
    <w:rsid w:val="008A7A25"/>
    <w:rsid w:val="008B20A2"/>
    <w:rsid w:val="008B3B4A"/>
    <w:rsid w:val="008B44AA"/>
    <w:rsid w:val="008B7D19"/>
    <w:rsid w:val="008C1E03"/>
    <w:rsid w:val="008C2FB3"/>
    <w:rsid w:val="008D6074"/>
    <w:rsid w:val="008D7C8F"/>
    <w:rsid w:val="008E139E"/>
    <w:rsid w:val="008E6DE4"/>
    <w:rsid w:val="008E6EAA"/>
    <w:rsid w:val="008F2485"/>
    <w:rsid w:val="008F39A2"/>
    <w:rsid w:val="008F5C06"/>
    <w:rsid w:val="009004A6"/>
    <w:rsid w:val="00901C20"/>
    <w:rsid w:val="00902164"/>
    <w:rsid w:val="0090268C"/>
    <w:rsid w:val="00902D17"/>
    <w:rsid w:val="00903407"/>
    <w:rsid w:val="00903512"/>
    <w:rsid w:val="0090512F"/>
    <w:rsid w:val="009104EA"/>
    <w:rsid w:val="00913570"/>
    <w:rsid w:val="00913AED"/>
    <w:rsid w:val="00915C82"/>
    <w:rsid w:val="00915D6F"/>
    <w:rsid w:val="00916EE6"/>
    <w:rsid w:val="0092221A"/>
    <w:rsid w:val="009242CE"/>
    <w:rsid w:val="009258F4"/>
    <w:rsid w:val="00925E6E"/>
    <w:rsid w:val="00930355"/>
    <w:rsid w:val="00932C4E"/>
    <w:rsid w:val="00934D98"/>
    <w:rsid w:val="00934FC8"/>
    <w:rsid w:val="00935A3E"/>
    <w:rsid w:val="00936E42"/>
    <w:rsid w:val="009442A2"/>
    <w:rsid w:val="0094513B"/>
    <w:rsid w:val="0094628D"/>
    <w:rsid w:val="0094653E"/>
    <w:rsid w:val="009501DF"/>
    <w:rsid w:val="0095045F"/>
    <w:rsid w:val="00950B76"/>
    <w:rsid w:val="00952CA0"/>
    <w:rsid w:val="00953AA0"/>
    <w:rsid w:val="00955A20"/>
    <w:rsid w:val="00956A53"/>
    <w:rsid w:val="0096169D"/>
    <w:rsid w:val="00961EF1"/>
    <w:rsid w:val="00963F4F"/>
    <w:rsid w:val="00966B26"/>
    <w:rsid w:val="009704C2"/>
    <w:rsid w:val="009717FE"/>
    <w:rsid w:val="00972E9C"/>
    <w:rsid w:val="009745A5"/>
    <w:rsid w:val="00975811"/>
    <w:rsid w:val="00977732"/>
    <w:rsid w:val="00980732"/>
    <w:rsid w:val="0098208F"/>
    <w:rsid w:val="0098417D"/>
    <w:rsid w:val="00984B2E"/>
    <w:rsid w:val="00985A3D"/>
    <w:rsid w:val="0098699C"/>
    <w:rsid w:val="00987238"/>
    <w:rsid w:val="0098776E"/>
    <w:rsid w:val="009904BB"/>
    <w:rsid w:val="00993C9D"/>
    <w:rsid w:val="00994A9E"/>
    <w:rsid w:val="00995709"/>
    <w:rsid w:val="0099570B"/>
    <w:rsid w:val="00997532"/>
    <w:rsid w:val="009A2A39"/>
    <w:rsid w:val="009A2F3D"/>
    <w:rsid w:val="009A54A3"/>
    <w:rsid w:val="009A69D0"/>
    <w:rsid w:val="009A751F"/>
    <w:rsid w:val="009C09B3"/>
    <w:rsid w:val="009C0CBD"/>
    <w:rsid w:val="009C0E7C"/>
    <w:rsid w:val="009C37B4"/>
    <w:rsid w:val="009C4982"/>
    <w:rsid w:val="009C4AA2"/>
    <w:rsid w:val="009C6316"/>
    <w:rsid w:val="009C6996"/>
    <w:rsid w:val="009C7337"/>
    <w:rsid w:val="009D028C"/>
    <w:rsid w:val="009D0D15"/>
    <w:rsid w:val="009D63E6"/>
    <w:rsid w:val="009E0F35"/>
    <w:rsid w:val="009E527D"/>
    <w:rsid w:val="009E623A"/>
    <w:rsid w:val="009F1496"/>
    <w:rsid w:val="009F37C0"/>
    <w:rsid w:val="009F42E7"/>
    <w:rsid w:val="009F4439"/>
    <w:rsid w:val="009F5863"/>
    <w:rsid w:val="009F5D29"/>
    <w:rsid w:val="009F7239"/>
    <w:rsid w:val="00A020AE"/>
    <w:rsid w:val="00A026C6"/>
    <w:rsid w:val="00A036FE"/>
    <w:rsid w:val="00A06105"/>
    <w:rsid w:val="00A10391"/>
    <w:rsid w:val="00A11015"/>
    <w:rsid w:val="00A113BD"/>
    <w:rsid w:val="00A12907"/>
    <w:rsid w:val="00A129DB"/>
    <w:rsid w:val="00A13396"/>
    <w:rsid w:val="00A13959"/>
    <w:rsid w:val="00A17604"/>
    <w:rsid w:val="00A205D5"/>
    <w:rsid w:val="00A239E2"/>
    <w:rsid w:val="00A25FE8"/>
    <w:rsid w:val="00A26862"/>
    <w:rsid w:val="00A26EA8"/>
    <w:rsid w:val="00A30D33"/>
    <w:rsid w:val="00A3197B"/>
    <w:rsid w:val="00A3473F"/>
    <w:rsid w:val="00A3654F"/>
    <w:rsid w:val="00A41A98"/>
    <w:rsid w:val="00A43571"/>
    <w:rsid w:val="00A447F7"/>
    <w:rsid w:val="00A458DF"/>
    <w:rsid w:val="00A517D8"/>
    <w:rsid w:val="00A5344E"/>
    <w:rsid w:val="00A540F7"/>
    <w:rsid w:val="00A5582B"/>
    <w:rsid w:val="00A56226"/>
    <w:rsid w:val="00A62AD5"/>
    <w:rsid w:val="00A62E3F"/>
    <w:rsid w:val="00A6442F"/>
    <w:rsid w:val="00A65CA1"/>
    <w:rsid w:val="00A66349"/>
    <w:rsid w:val="00A67A8B"/>
    <w:rsid w:val="00A7095F"/>
    <w:rsid w:val="00A7231F"/>
    <w:rsid w:val="00A736D8"/>
    <w:rsid w:val="00A759F2"/>
    <w:rsid w:val="00A77B68"/>
    <w:rsid w:val="00A80EED"/>
    <w:rsid w:val="00A81A2D"/>
    <w:rsid w:val="00A82DE7"/>
    <w:rsid w:val="00A8567F"/>
    <w:rsid w:val="00A9059A"/>
    <w:rsid w:val="00A92720"/>
    <w:rsid w:val="00A92A19"/>
    <w:rsid w:val="00A93193"/>
    <w:rsid w:val="00A93D8E"/>
    <w:rsid w:val="00A9414C"/>
    <w:rsid w:val="00A95DAB"/>
    <w:rsid w:val="00A96519"/>
    <w:rsid w:val="00A966EF"/>
    <w:rsid w:val="00AA1F89"/>
    <w:rsid w:val="00AA250E"/>
    <w:rsid w:val="00AA2E7F"/>
    <w:rsid w:val="00AA4909"/>
    <w:rsid w:val="00AA6952"/>
    <w:rsid w:val="00AA719E"/>
    <w:rsid w:val="00AA75E7"/>
    <w:rsid w:val="00AB3753"/>
    <w:rsid w:val="00AC111D"/>
    <w:rsid w:val="00AC178E"/>
    <w:rsid w:val="00AC1AD5"/>
    <w:rsid w:val="00AC4151"/>
    <w:rsid w:val="00AC60F8"/>
    <w:rsid w:val="00AD0D46"/>
    <w:rsid w:val="00AD3414"/>
    <w:rsid w:val="00AD4D01"/>
    <w:rsid w:val="00AD529B"/>
    <w:rsid w:val="00AD5799"/>
    <w:rsid w:val="00AD5D28"/>
    <w:rsid w:val="00AD6FD3"/>
    <w:rsid w:val="00AE3193"/>
    <w:rsid w:val="00AE42EF"/>
    <w:rsid w:val="00AE6598"/>
    <w:rsid w:val="00AF505E"/>
    <w:rsid w:val="00AF67B4"/>
    <w:rsid w:val="00AF7421"/>
    <w:rsid w:val="00B02A00"/>
    <w:rsid w:val="00B03CEF"/>
    <w:rsid w:val="00B0456A"/>
    <w:rsid w:val="00B10D95"/>
    <w:rsid w:val="00B17738"/>
    <w:rsid w:val="00B17C28"/>
    <w:rsid w:val="00B22786"/>
    <w:rsid w:val="00B23616"/>
    <w:rsid w:val="00B24878"/>
    <w:rsid w:val="00B25ACB"/>
    <w:rsid w:val="00B315BA"/>
    <w:rsid w:val="00B31FED"/>
    <w:rsid w:val="00B34FA4"/>
    <w:rsid w:val="00B357A3"/>
    <w:rsid w:val="00B3697B"/>
    <w:rsid w:val="00B3709A"/>
    <w:rsid w:val="00B3763E"/>
    <w:rsid w:val="00B42AB3"/>
    <w:rsid w:val="00B47453"/>
    <w:rsid w:val="00B47493"/>
    <w:rsid w:val="00B5189C"/>
    <w:rsid w:val="00B52054"/>
    <w:rsid w:val="00B54518"/>
    <w:rsid w:val="00B57D57"/>
    <w:rsid w:val="00B62D01"/>
    <w:rsid w:val="00B64F35"/>
    <w:rsid w:val="00B707EC"/>
    <w:rsid w:val="00B73711"/>
    <w:rsid w:val="00B76A12"/>
    <w:rsid w:val="00B810A8"/>
    <w:rsid w:val="00B82937"/>
    <w:rsid w:val="00B83287"/>
    <w:rsid w:val="00B84306"/>
    <w:rsid w:val="00B8596F"/>
    <w:rsid w:val="00B859BF"/>
    <w:rsid w:val="00B860EF"/>
    <w:rsid w:val="00B86C96"/>
    <w:rsid w:val="00B87C6B"/>
    <w:rsid w:val="00B901B2"/>
    <w:rsid w:val="00B91E0C"/>
    <w:rsid w:val="00B938BD"/>
    <w:rsid w:val="00B9518D"/>
    <w:rsid w:val="00BA28FE"/>
    <w:rsid w:val="00BB21BE"/>
    <w:rsid w:val="00BB2D85"/>
    <w:rsid w:val="00BB3DCD"/>
    <w:rsid w:val="00BB6744"/>
    <w:rsid w:val="00BB7E28"/>
    <w:rsid w:val="00BC3AAC"/>
    <w:rsid w:val="00BC3C19"/>
    <w:rsid w:val="00BC5D19"/>
    <w:rsid w:val="00BC6364"/>
    <w:rsid w:val="00BD0E2C"/>
    <w:rsid w:val="00BD3E77"/>
    <w:rsid w:val="00BD4B09"/>
    <w:rsid w:val="00BD5A3A"/>
    <w:rsid w:val="00BD5EB7"/>
    <w:rsid w:val="00BD6D0D"/>
    <w:rsid w:val="00BF2645"/>
    <w:rsid w:val="00BF2E9A"/>
    <w:rsid w:val="00C0061E"/>
    <w:rsid w:val="00C0085D"/>
    <w:rsid w:val="00C0144A"/>
    <w:rsid w:val="00C035CA"/>
    <w:rsid w:val="00C12845"/>
    <w:rsid w:val="00C201CA"/>
    <w:rsid w:val="00C21A83"/>
    <w:rsid w:val="00C220B2"/>
    <w:rsid w:val="00C224AC"/>
    <w:rsid w:val="00C2353A"/>
    <w:rsid w:val="00C26BC0"/>
    <w:rsid w:val="00C26BED"/>
    <w:rsid w:val="00C26FFA"/>
    <w:rsid w:val="00C27103"/>
    <w:rsid w:val="00C27575"/>
    <w:rsid w:val="00C27BDF"/>
    <w:rsid w:val="00C308D2"/>
    <w:rsid w:val="00C309F8"/>
    <w:rsid w:val="00C31B33"/>
    <w:rsid w:val="00C320B3"/>
    <w:rsid w:val="00C340DF"/>
    <w:rsid w:val="00C3431D"/>
    <w:rsid w:val="00C346D9"/>
    <w:rsid w:val="00C4085B"/>
    <w:rsid w:val="00C40F1B"/>
    <w:rsid w:val="00C41EA6"/>
    <w:rsid w:val="00C45B68"/>
    <w:rsid w:val="00C469C8"/>
    <w:rsid w:val="00C47A14"/>
    <w:rsid w:val="00C47BB9"/>
    <w:rsid w:val="00C530B0"/>
    <w:rsid w:val="00C5514F"/>
    <w:rsid w:val="00C57921"/>
    <w:rsid w:val="00C61317"/>
    <w:rsid w:val="00C62D06"/>
    <w:rsid w:val="00C63662"/>
    <w:rsid w:val="00C67950"/>
    <w:rsid w:val="00C72E2C"/>
    <w:rsid w:val="00C73637"/>
    <w:rsid w:val="00C76B43"/>
    <w:rsid w:val="00C82287"/>
    <w:rsid w:val="00C85316"/>
    <w:rsid w:val="00C92B77"/>
    <w:rsid w:val="00C931EE"/>
    <w:rsid w:val="00C94874"/>
    <w:rsid w:val="00C97180"/>
    <w:rsid w:val="00CA180F"/>
    <w:rsid w:val="00CA1A60"/>
    <w:rsid w:val="00CA1F59"/>
    <w:rsid w:val="00CB74D3"/>
    <w:rsid w:val="00CB7BA7"/>
    <w:rsid w:val="00CC2A80"/>
    <w:rsid w:val="00CC2D4F"/>
    <w:rsid w:val="00CC440C"/>
    <w:rsid w:val="00CC4789"/>
    <w:rsid w:val="00CC5503"/>
    <w:rsid w:val="00CC6BAD"/>
    <w:rsid w:val="00CC7EE4"/>
    <w:rsid w:val="00CD0237"/>
    <w:rsid w:val="00CD1475"/>
    <w:rsid w:val="00CD31BF"/>
    <w:rsid w:val="00CD41B2"/>
    <w:rsid w:val="00CD54BC"/>
    <w:rsid w:val="00CD5FA8"/>
    <w:rsid w:val="00CD7967"/>
    <w:rsid w:val="00CD7C97"/>
    <w:rsid w:val="00CE0980"/>
    <w:rsid w:val="00CE5BCC"/>
    <w:rsid w:val="00CE5E9C"/>
    <w:rsid w:val="00CE5F54"/>
    <w:rsid w:val="00CF2629"/>
    <w:rsid w:val="00CF3EE0"/>
    <w:rsid w:val="00CF5286"/>
    <w:rsid w:val="00CF6B1A"/>
    <w:rsid w:val="00CF74A8"/>
    <w:rsid w:val="00D02AEC"/>
    <w:rsid w:val="00D02DF9"/>
    <w:rsid w:val="00D0465E"/>
    <w:rsid w:val="00D11E32"/>
    <w:rsid w:val="00D14294"/>
    <w:rsid w:val="00D164E9"/>
    <w:rsid w:val="00D22EBD"/>
    <w:rsid w:val="00D23581"/>
    <w:rsid w:val="00D24279"/>
    <w:rsid w:val="00D2575C"/>
    <w:rsid w:val="00D27A91"/>
    <w:rsid w:val="00D311D8"/>
    <w:rsid w:val="00D3265D"/>
    <w:rsid w:val="00D32E67"/>
    <w:rsid w:val="00D3415B"/>
    <w:rsid w:val="00D37A83"/>
    <w:rsid w:val="00D37B03"/>
    <w:rsid w:val="00D4195B"/>
    <w:rsid w:val="00D44F9B"/>
    <w:rsid w:val="00D452E5"/>
    <w:rsid w:val="00D4742B"/>
    <w:rsid w:val="00D513FF"/>
    <w:rsid w:val="00D518FE"/>
    <w:rsid w:val="00D52134"/>
    <w:rsid w:val="00D531D7"/>
    <w:rsid w:val="00D5453B"/>
    <w:rsid w:val="00D56625"/>
    <w:rsid w:val="00D57A28"/>
    <w:rsid w:val="00D61788"/>
    <w:rsid w:val="00D631CD"/>
    <w:rsid w:val="00D63E43"/>
    <w:rsid w:val="00D655CB"/>
    <w:rsid w:val="00D66F8E"/>
    <w:rsid w:val="00D71555"/>
    <w:rsid w:val="00D71CC1"/>
    <w:rsid w:val="00D72B03"/>
    <w:rsid w:val="00D72E6E"/>
    <w:rsid w:val="00D738A3"/>
    <w:rsid w:val="00D7399D"/>
    <w:rsid w:val="00D73E1C"/>
    <w:rsid w:val="00D7572F"/>
    <w:rsid w:val="00D75AF7"/>
    <w:rsid w:val="00D80189"/>
    <w:rsid w:val="00D826D0"/>
    <w:rsid w:val="00D839D9"/>
    <w:rsid w:val="00D87995"/>
    <w:rsid w:val="00D92C3E"/>
    <w:rsid w:val="00D9342F"/>
    <w:rsid w:val="00D941BA"/>
    <w:rsid w:val="00D95056"/>
    <w:rsid w:val="00D966BB"/>
    <w:rsid w:val="00DA11B0"/>
    <w:rsid w:val="00DA4AE0"/>
    <w:rsid w:val="00DB0C6E"/>
    <w:rsid w:val="00DB5C1C"/>
    <w:rsid w:val="00DB66B2"/>
    <w:rsid w:val="00DC0F5E"/>
    <w:rsid w:val="00DC4057"/>
    <w:rsid w:val="00DC4544"/>
    <w:rsid w:val="00DC5F44"/>
    <w:rsid w:val="00DD14CD"/>
    <w:rsid w:val="00DD2FCF"/>
    <w:rsid w:val="00DD2FEC"/>
    <w:rsid w:val="00DD4E6D"/>
    <w:rsid w:val="00DD7CDE"/>
    <w:rsid w:val="00DE1724"/>
    <w:rsid w:val="00DE1757"/>
    <w:rsid w:val="00DE1F4A"/>
    <w:rsid w:val="00DE407F"/>
    <w:rsid w:val="00DE40C1"/>
    <w:rsid w:val="00DE4F4B"/>
    <w:rsid w:val="00DF1680"/>
    <w:rsid w:val="00DF50D7"/>
    <w:rsid w:val="00DF6BA2"/>
    <w:rsid w:val="00E00B5A"/>
    <w:rsid w:val="00E01FF2"/>
    <w:rsid w:val="00E031CB"/>
    <w:rsid w:val="00E075CF"/>
    <w:rsid w:val="00E10893"/>
    <w:rsid w:val="00E123C9"/>
    <w:rsid w:val="00E1324D"/>
    <w:rsid w:val="00E154C2"/>
    <w:rsid w:val="00E222EB"/>
    <w:rsid w:val="00E22679"/>
    <w:rsid w:val="00E22A90"/>
    <w:rsid w:val="00E23BD2"/>
    <w:rsid w:val="00E246DA"/>
    <w:rsid w:val="00E26805"/>
    <w:rsid w:val="00E278F8"/>
    <w:rsid w:val="00E27A13"/>
    <w:rsid w:val="00E369BC"/>
    <w:rsid w:val="00E36A0B"/>
    <w:rsid w:val="00E416EC"/>
    <w:rsid w:val="00E5020A"/>
    <w:rsid w:val="00E51428"/>
    <w:rsid w:val="00E549B9"/>
    <w:rsid w:val="00E614F2"/>
    <w:rsid w:val="00E61556"/>
    <w:rsid w:val="00E62BF2"/>
    <w:rsid w:val="00E70DAB"/>
    <w:rsid w:val="00E73058"/>
    <w:rsid w:val="00E7352B"/>
    <w:rsid w:val="00E73903"/>
    <w:rsid w:val="00E815CC"/>
    <w:rsid w:val="00E8328A"/>
    <w:rsid w:val="00E836B7"/>
    <w:rsid w:val="00E84EF1"/>
    <w:rsid w:val="00E86F7B"/>
    <w:rsid w:val="00E90DC4"/>
    <w:rsid w:val="00E918C7"/>
    <w:rsid w:val="00E926C1"/>
    <w:rsid w:val="00E93C07"/>
    <w:rsid w:val="00E9453E"/>
    <w:rsid w:val="00E94FA1"/>
    <w:rsid w:val="00E95DE8"/>
    <w:rsid w:val="00E95EF7"/>
    <w:rsid w:val="00E96393"/>
    <w:rsid w:val="00EA1DAE"/>
    <w:rsid w:val="00EA2A5E"/>
    <w:rsid w:val="00EA7B8A"/>
    <w:rsid w:val="00EA7D83"/>
    <w:rsid w:val="00EB2000"/>
    <w:rsid w:val="00EB2F28"/>
    <w:rsid w:val="00EB40B8"/>
    <w:rsid w:val="00EB51A1"/>
    <w:rsid w:val="00EB5828"/>
    <w:rsid w:val="00EB69B6"/>
    <w:rsid w:val="00EC5EC8"/>
    <w:rsid w:val="00ED1943"/>
    <w:rsid w:val="00ED19DC"/>
    <w:rsid w:val="00ED2FD5"/>
    <w:rsid w:val="00EE1930"/>
    <w:rsid w:val="00EE3D9B"/>
    <w:rsid w:val="00EE7B28"/>
    <w:rsid w:val="00EF1DD6"/>
    <w:rsid w:val="00EF2F61"/>
    <w:rsid w:val="00EF2F73"/>
    <w:rsid w:val="00EF7196"/>
    <w:rsid w:val="00F10C58"/>
    <w:rsid w:val="00F16140"/>
    <w:rsid w:val="00F16F74"/>
    <w:rsid w:val="00F173A1"/>
    <w:rsid w:val="00F17F5F"/>
    <w:rsid w:val="00F2114C"/>
    <w:rsid w:val="00F257E7"/>
    <w:rsid w:val="00F259F7"/>
    <w:rsid w:val="00F3005B"/>
    <w:rsid w:val="00F30BCB"/>
    <w:rsid w:val="00F31666"/>
    <w:rsid w:val="00F361DE"/>
    <w:rsid w:val="00F44F3C"/>
    <w:rsid w:val="00F462AC"/>
    <w:rsid w:val="00F50DB2"/>
    <w:rsid w:val="00F513E2"/>
    <w:rsid w:val="00F526BE"/>
    <w:rsid w:val="00F52828"/>
    <w:rsid w:val="00F5341C"/>
    <w:rsid w:val="00F5518F"/>
    <w:rsid w:val="00F55AE5"/>
    <w:rsid w:val="00F561AA"/>
    <w:rsid w:val="00F66BA8"/>
    <w:rsid w:val="00F7470F"/>
    <w:rsid w:val="00F755E7"/>
    <w:rsid w:val="00F75C41"/>
    <w:rsid w:val="00F767AC"/>
    <w:rsid w:val="00F8352B"/>
    <w:rsid w:val="00F83799"/>
    <w:rsid w:val="00F84196"/>
    <w:rsid w:val="00F85991"/>
    <w:rsid w:val="00F8781F"/>
    <w:rsid w:val="00F90D9B"/>
    <w:rsid w:val="00FA39AE"/>
    <w:rsid w:val="00FA5BD2"/>
    <w:rsid w:val="00FB104E"/>
    <w:rsid w:val="00FB2EE3"/>
    <w:rsid w:val="00FB314A"/>
    <w:rsid w:val="00FB3DE1"/>
    <w:rsid w:val="00FB4E54"/>
    <w:rsid w:val="00FC0DF8"/>
    <w:rsid w:val="00FC213F"/>
    <w:rsid w:val="00FC244D"/>
    <w:rsid w:val="00FC47E4"/>
    <w:rsid w:val="00FC52C5"/>
    <w:rsid w:val="00FD0002"/>
    <w:rsid w:val="00FD15E2"/>
    <w:rsid w:val="00FD1952"/>
    <w:rsid w:val="00FD1BA0"/>
    <w:rsid w:val="00FD79AC"/>
    <w:rsid w:val="00FE02ED"/>
    <w:rsid w:val="00FE0B54"/>
    <w:rsid w:val="00FE13C5"/>
    <w:rsid w:val="00FE4E30"/>
    <w:rsid w:val="00FE5DE8"/>
    <w:rsid w:val="00FE666A"/>
    <w:rsid w:val="00FE7056"/>
    <w:rsid w:val="00FE778B"/>
    <w:rsid w:val="00FF1005"/>
    <w:rsid w:val="00FF4A03"/>
    <w:rsid w:val="00FF7399"/>
    <w:rsid w:val="01040982"/>
    <w:rsid w:val="01174D18"/>
    <w:rsid w:val="011D2156"/>
    <w:rsid w:val="012243CA"/>
    <w:rsid w:val="01265F49"/>
    <w:rsid w:val="012C7017"/>
    <w:rsid w:val="01312571"/>
    <w:rsid w:val="01345DC6"/>
    <w:rsid w:val="016026CA"/>
    <w:rsid w:val="016B4A2F"/>
    <w:rsid w:val="01710FDD"/>
    <w:rsid w:val="017714C8"/>
    <w:rsid w:val="01894B0D"/>
    <w:rsid w:val="01965B9C"/>
    <w:rsid w:val="01A043A5"/>
    <w:rsid w:val="01D54327"/>
    <w:rsid w:val="01DD6200"/>
    <w:rsid w:val="01E1080E"/>
    <w:rsid w:val="01E70628"/>
    <w:rsid w:val="01EB1870"/>
    <w:rsid w:val="01F37AF6"/>
    <w:rsid w:val="01FA2325"/>
    <w:rsid w:val="020033CD"/>
    <w:rsid w:val="02146D85"/>
    <w:rsid w:val="021942D0"/>
    <w:rsid w:val="021A693C"/>
    <w:rsid w:val="021F25AC"/>
    <w:rsid w:val="021F2E8B"/>
    <w:rsid w:val="023C6D90"/>
    <w:rsid w:val="024227A1"/>
    <w:rsid w:val="024D67D9"/>
    <w:rsid w:val="025B3979"/>
    <w:rsid w:val="026A3F63"/>
    <w:rsid w:val="02722C22"/>
    <w:rsid w:val="02951E56"/>
    <w:rsid w:val="029C73E2"/>
    <w:rsid w:val="02A2468A"/>
    <w:rsid w:val="02A53B2F"/>
    <w:rsid w:val="02A66A60"/>
    <w:rsid w:val="02A67AD7"/>
    <w:rsid w:val="02AD54C3"/>
    <w:rsid w:val="02BC1EA3"/>
    <w:rsid w:val="02C434CA"/>
    <w:rsid w:val="02C97734"/>
    <w:rsid w:val="02DD6633"/>
    <w:rsid w:val="02E00BF2"/>
    <w:rsid w:val="02E85AC1"/>
    <w:rsid w:val="02F10967"/>
    <w:rsid w:val="02F11B6B"/>
    <w:rsid w:val="02FF7B0D"/>
    <w:rsid w:val="030271FD"/>
    <w:rsid w:val="03031E41"/>
    <w:rsid w:val="030618D1"/>
    <w:rsid w:val="03076917"/>
    <w:rsid w:val="03251FF3"/>
    <w:rsid w:val="03331F1B"/>
    <w:rsid w:val="035427A2"/>
    <w:rsid w:val="035F21A1"/>
    <w:rsid w:val="03654A51"/>
    <w:rsid w:val="03746EC1"/>
    <w:rsid w:val="038E46D5"/>
    <w:rsid w:val="039908DB"/>
    <w:rsid w:val="03AB6927"/>
    <w:rsid w:val="03BF1337"/>
    <w:rsid w:val="03C73E16"/>
    <w:rsid w:val="03CA613E"/>
    <w:rsid w:val="03CC6065"/>
    <w:rsid w:val="03CE0691"/>
    <w:rsid w:val="03D56EFE"/>
    <w:rsid w:val="03DD2973"/>
    <w:rsid w:val="03DE6948"/>
    <w:rsid w:val="03E67CA1"/>
    <w:rsid w:val="03FD149C"/>
    <w:rsid w:val="04063982"/>
    <w:rsid w:val="040F7EFE"/>
    <w:rsid w:val="04156ADC"/>
    <w:rsid w:val="04211D20"/>
    <w:rsid w:val="042C0A88"/>
    <w:rsid w:val="042C5EC6"/>
    <w:rsid w:val="042F1B00"/>
    <w:rsid w:val="043154C9"/>
    <w:rsid w:val="04331BA8"/>
    <w:rsid w:val="043F7C35"/>
    <w:rsid w:val="0452306D"/>
    <w:rsid w:val="04642D3C"/>
    <w:rsid w:val="046E5C60"/>
    <w:rsid w:val="047C45AC"/>
    <w:rsid w:val="0485142D"/>
    <w:rsid w:val="04B02FAB"/>
    <w:rsid w:val="04D179FC"/>
    <w:rsid w:val="04E56980"/>
    <w:rsid w:val="04EB19AA"/>
    <w:rsid w:val="04F61373"/>
    <w:rsid w:val="05033B07"/>
    <w:rsid w:val="051B4908"/>
    <w:rsid w:val="052948A7"/>
    <w:rsid w:val="056475E5"/>
    <w:rsid w:val="05665C86"/>
    <w:rsid w:val="056C10D2"/>
    <w:rsid w:val="057C6E78"/>
    <w:rsid w:val="05971C4D"/>
    <w:rsid w:val="05A10C5F"/>
    <w:rsid w:val="05A5488E"/>
    <w:rsid w:val="05A77B98"/>
    <w:rsid w:val="05BA693B"/>
    <w:rsid w:val="05BB20CA"/>
    <w:rsid w:val="05BF5401"/>
    <w:rsid w:val="05C33BFB"/>
    <w:rsid w:val="05D71F11"/>
    <w:rsid w:val="05E11C59"/>
    <w:rsid w:val="05ED6841"/>
    <w:rsid w:val="05EF271E"/>
    <w:rsid w:val="05F67A0D"/>
    <w:rsid w:val="05FB4766"/>
    <w:rsid w:val="05FB7DA0"/>
    <w:rsid w:val="06420788"/>
    <w:rsid w:val="064325E4"/>
    <w:rsid w:val="0644512B"/>
    <w:rsid w:val="06497570"/>
    <w:rsid w:val="06534B18"/>
    <w:rsid w:val="065F1566"/>
    <w:rsid w:val="065F21B3"/>
    <w:rsid w:val="06610E16"/>
    <w:rsid w:val="0667428C"/>
    <w:rsid w:val="06690815"/>
    <w:rsid w:val="067755AD"/>
    <w:rsid w:val="06816CA3"/>
    <w:rsid w:val="068B1845"/>
    <w:rsid w:val="06B87CB2"/>
    <w:rsid w:val="06BA343E"/>
    <w:rsid w:val="06CD1DC9"/>
    <w:rsid w:val="06D4796C"/>
    <w:rsid w:val="06E65D5D"/>
    <w:rsid w:val="06F445CF"/>
    <w:rsid w:val="070B5551"/>
    <w:rsid w:val="070F0AAA"/>
    <w:rsid w:val="071054BB"/>
    <w:rsid w:val="072F3A3D"/>
    <w:rsid w:val="073A64D9"/>
    <w:rsid w:val="0745006D"/>
    <w:rsid w:val="07452ADB"/>
    <w:rsid w:val="074C4BA5"/>
    <w:rsid w:val="076935B6"/>
    <w:rsid w:val="078049CC"/>
    <w:rsid w:val="078331A5"/>
    <w:rsid w:val="0790307B"/>
    <w:rsid w:val="079062AD"/>
    <w:rsid w:val="079C0CCF"/>
    <w:rsid w:val="079C3043"/>
    <w:rsid w:val="07AE3A82"/>
    <w:rsid w:val="07B80405"/>
    <w:rsid w:val="07C73625"/>
    <w:rsid w:val="07E64F44"/>
    <w:rsid w:val="07ED45E5"/>
    <w:rsid w:val="07F32890"/>
    <w:rsid w:val="07F57D7B"/>
    <w:rsid w:val="07F95E1A"/>
    <w:rsid w:val="07FE2EC2"/>
    <w:rsid w:val="07FF1F8A"/>
    <w:rsid w:val="080602AA"/>
    <w:rsid w:val="080E6480"/>
    <w:rsid w:val="081B7A58"/>
    <w:rsid w:val="0828742A"/>
    <w:rsid w:val="082A4897"/>
    <w:rsid w:val="0833782E"/>
    <w:rsid w:val="08357BE6"/>
    <w:rsid w:val="08472BB2"/>
    <w:rsid w:val="08473655"/>
    <w:rsid w:val="085B6311"/>
    <w:rsid w:val="085D4934"/>
    <w:rsid w:val="08623B65"/>
    <w:rsid w:val="086B4338"/>
    <w:rsid w:val="08752298"/>
    <w:rsid w:val="08753B42"/>
    <w:rsid w:val="08843D94"/>
    <w:rsid w:val="0886793D"/>
    <w:rsid w:val="088F2136"/>
    <w:rsid w:val="088F681B"/>
    <w:rsid w:val="089465EE"/>
    <w:rsid w:val="089D6855"/>
    <w:rsid w:val="08A405A2"/>
    <w:rsid w:val="08B47EF0"/>
    <w:rsid w:val="08B94A5C"/>
    <w:rsid w:val="08BD2736"/>
    <w:rsid w:val="08C90134"/>
    <w:rsid w:val="08C918DF"/>
    <w:rsid w:val="08D060C5"/>
    <w:rsid w:val="08E33F3C"/>
    <w:rsid w:val="08EE0A3A"/>
    <w:rsid w:val="08F36098"/>
    <w:rsid w:val="08F524DC"/>
    <w:rsid w:val="08FB6D71"/>
    <w:rsid w:val="09156C68"/>
    <w:rsid w:val="092E4183"/>
    <w:rsid w:val="09417032"/>
    <w:rsid w:val="094D28DF"/>
    <w:rsid w:val="094D44FD"/>
    <w:rsid w:val="09513600"/>
    <w:rsid w:val="095324C6"/>
    <w:rsid w:val="09536B86"/>
    <w:rsid w:val="09601AC5"/>
    <w:rsid w:val="09764180"/>
    <w:rsid w:val="09887C3A"/>
    <w:rsid w:val="098F323A"/>
    <w:rsid w:val="09941B22"/>
    <w:rsid w:val="099C6662"/>
    <w:rsid w:val="09A226A8"/>
    <w:rsid w:val="09AE3F4D"/>
    <w:rsid w:val="09B22049"/>
    <w:rsid w:val="09B72AFB"/>
    <w:rsid w:val="09C872E5"/>
    <w:rsid w:val="09DC122C"/>
    <w:rsid w:val="09EA71CB"/>
    <w:rsid w:val="09F22188"/>
    <w:rsid w:val="09FB7366"/>
    <w:rsid w:val="0A1357CF"/>
    <w:rsid w:val="0A283D7A"/>
    <w:rsid w:val="0A297F1B"/>
    <w:rsid w:val="0A384223"/>
    <w:rsid w:val="0A387E1E"/>
    <w:rsid w:val="0A4B7344"/>
    <w:rsid w:val="0A592E23"/>
    <w:rsid w:val="0A694E00"/>
    <w:rsid w:val="0A730E97"/>
    <w:rsid w:val="0A7C4D8D"/>
    <w:rsid w:val="0A84786E"/>
    <w:rsid w:val="0A9409EB"/>
    <w:rsid w:val="0AA90FDD"/>
    <w:rsid w:val="0AC600A5"/>
    <w:rsid w:val="0ACF65B8"/>
    <w:rsid w:val="0AD45E60"/>
    <w:rsid w:val="0AE65DD4"/>
    <w:rsid w:val="0AF62712"/>
    <w:rsid w:val="0AFA6C2D"/>
    <w:rsid w:val="0B0614BA"/>
    <w:rsid w:val="0B0855B6"/>
    <w:rsid w:val="0B087984"/>
    <w:rsid w:val="0B1B490F"/>
    <w:rsid w:val="0B1E63E0"/>
    <w:rsid w:val="0B2C121A"/>
    <w:rsid w:val="0B393965"/>
    <w:rsid w:val="0B4042B6"/>
    <w:rsid w:val="0B4F63F3"/>
    <w:rsid w:val="0B532B17"/>
    <w:rsid w:val="0B6215DF"/>
    <w:rsid w:val="0B654722"/>
    <w:rsid w:val="0B6C7489"/>
    <w:rsid w:val="0B841C4E"/>
    <w:rsid w:val="0B894229"/>
    <w:rsid w:val="0BA04388"/>
    <w:rsid w:val="0BA708E6"/>
    <w:rsid w:val="0BB210A7"/>
    <w:rsid w:val="0BBF071E"/>
    <w:rsid w:val="0BC762F9"/>
    <w:rsid w:val="0BC830D8"/>
    <w:rsid w:val="0BD1458C"/>
    <w:rsid w:val="0BEE0E58"/>
    <w:rsid w:val="0C110CAC"/>
    <w:rsid w:val="0C135843"/>
    <w:rsid w:val="0C1744A1"/>
    <w:rsid w:val="0C260639"/>
    <w:rsid w:val="0C265256"/>
    <w:rsid w:val="0C461DE7"/>
    <w:rsid w:val="0C474054"/>
    <w:rsid w:val="0C5A4477"/>
    <w:rsid w:val="0C5B3A9D"/>
    <w:rsid w:val="0C614703"/>
    <w:rsid w:val="0C68230C"/>
    <w:rsid w:val="0C6D185B"/>
    <w:rsid w:val="0C751CF6"/>
    <w:rsid w:val="0C78532C"/>
    <w:rsid w:val="0C7B27A2"/>
    <w:rsid w:val="0C7D6937"/>
    <w:rsid w:val="0C921D53"/>
    <w:rsid w:val="0C9327C8"/>
    <w:rsid w:val="0CA270BD"/>
    <w:rsid w:val="0CA3235F"/>
    <w:rsid w:val="0CB22684"/>
    <w:rsid w:val="0CB836E4"/>
    <w:rsid w:val="0CBA0493"/>
    <w:rsid w:val="0CC83452"/>
    <w:rsid w:val="0CD4251A"/>
    <w:rsid w:val="0CDD53CF"/>
    <w:rsid w:val="0CDF4D2E"/>
    <w:rsid w:val="0CF54186"/>
    <w:rsid w:val="0D0878EA"/>
    <w:rsid w:val="0D092D19"/>
    <w:rsid w:val="0D112AD7"/>
    <w:rsid w:val="0D1347FD"/>
    <w:rsid w:val="0D1626DF"/>
    <w:rsid w:val="0D1F15BD"/>
    <w:rsid w:val="0D33651C"/>
    <w:rsid w:val="0D3849F3"/>
    <w:rsid w:val="0D484C3A"/>
    <w:rsid w:val="0D4B2500"/>
    <w:rsid w:val="0D506023"/>
    <w:rsid w:val="0D581286"/>
    <w:rsid w:val="0D6542E5"/>
    <w:rsid w:val="0D660C89"/>
    <w:rsid w:val="0D6A1A21"/>
    <w:rsid w:val="0D71793F"/>
    <w:rsid w:val="0D7212E4"/>
    <w:rsid w:val="0D726A4D"/>
    <w:rsid w:val="0D7D42A2"/>
    <w:rsid w:val="0D7E2154"/>
    <w:rsid w:val="0D8C3913"/>
    <w:rsid w:val="0D8F0821"/>
    <w:rsid w:val="0D9005A3"/>
    <w:rsid w:val="0D9A40C8"/>
    <w:rsid w:val="0D9B2A72"/>
    <w:rsid w:val="0DA54C64"/>
    <w:rsid w:val="0DBD45E8"/>
    <w:rsid w:val="0DBD7645"/>
    <w:rsid w:val="0DBF2246"/>
    <w:rsid w:val="0DBF68FD"/>
    <w:rsid w:val="0DC57904"/>
    <w:rsid w:val="0DC7529B"/>
    <w:rsid w:val="0DD73A7A"/>
    <w:rsid w:val="0DE64FA7"/>
    <w:rsid w:val="0DE74759"/>
    <w:rsid w:val="0DE80E75"/>
    <w:rsid w:val="0DEF6C18"/>
    <w:rsid w:val="0DF21678"/>
    <w:rsid w:val="0E0046E6"/>
    <w:rsid w:val="0E0255A5"/>
    <w:rsid w:val="0E0B0C81"/>
    <w:rsid w:val="0E0C26C1"/>
    <w:rsid w:val="0E172DCD"/>
    <w:rsid w:val="0E1D60FD"/>
    <w:rsid w:val="0E1F53BF"/>
    <w:rsid w:val="0E231FED"/>
    <w:rsid w:val="0E244999"/>
    <w:rsid w:val="0E271835"/>
    <w:rsid w:val="0E3649FC"/>
    <w:rsid w:val="0E375273"/>
    <w:rsid w:val="0E383DD8"/>
    <w:rsid w:val="0E3E180B"/>
    <w:rsid w:val="0E4159EF"/>
    <w:rsid w:val="0E51565B"/>
    <w:rsid w:val="0E58021D"/>
    <w:rsid w:val="0E67548F"/>
    <w:rsid w:val="0E6C1186"/>
    <w:rsid w:val="0E6C611D"/>
    <w:rsid w:val="0E7D648C"/>
    <w:rsid w:val="0E811C1D"/>
    <w:rsid w:val="0E8B6B09"/>
    <w:rsid w:val="0E8E71E0"/>
    <w:rsid w:val="0EB63DEC"/>
    <w:rsid w:val="0EBC0B50"/>
    <w:rsid w:val="0ED16BBA"/>
    <w:rsid w:val="0EDD29B5"/>
    <w:rsid w:val="0EE45ED1"/>
    <w:rsid w:val="0EEE5A4C"/>
    <w:rsid w:val="0EF2441A"/>
    <w:rsid w:val="0F007DBA"/>
    <w:rsid w:val="0F1315B7"/>
    <w:rsid w:val="0F301A10"/>
    <w:rsid w:val="0F3324FC"/>
    <w:rsid w:val="0F374186"/>
    <w:rsid w:val="0F4C20F4"/>
    <w:rsid w:val="0F735999"/>
    <w:rsid w:val="0F7C6814"/>
    <w:rsid w:val="0F846970"/>
    <w:rsid w:val="0F8577A0"/>
    <w:rsid w:val="0F8E634B"/>
    <w:rsid w:val="0F97345D"/>
    <w:rsid w:val="0FB373CF"/>
    <w:rsid w:val="0FB80347"/>
    <w:rsid w:val="0FB82C9B"/>
    <w:rsid w:val="0FBE101B"/>
    <w:rsid w:val="0FC23ECC"/>
    <w:rsid w:val="0FC309DE"/>
    <w:rsid w:val="0FDE2115"/>
    <w:rsid w:val="0FE01E7E"/>
    <w:rsid w:val="0FFD6346"/>
    <w:rsid w:val="10000D31"/>
    <w:rsid w:val="100A680F"/>
    <w:rsid w:val="100B21E4"/>
    <w:rsid w:val="101414F5"/>
    <w:rsid w:val="103255C8"/>
    <w:rsid w:val="103C64DF"/>
    <w:rsid w:val="10450055"/>
    <w:rsid w:val="10473DE9"/>
    <w:rsid w:val="10507039"/>
    <w:rsid w:val="107432A4"/>
    <w:rsid w:val="107F0778"/>
    <w:rsid w:val="108C2E2A"/>
    <w:rsid w:val="10A62D5F"/>
    <w:rsid w:val="10A67880"/>
    <w:rsid w:val="10AD0E80"/>
    <w:rsid w:val="10B04F10"/>
    <w:rsid w:val="10B37038"/>
    <w:rsid w:val="10BA2C5C"/>
    <w:rsid w:val="10C11B65"/>
    <w:rsid w:val="10C1580B"/>
    <w:rsid w:val="10C53572"/>
    <w:rsid w:val="10C61D5A"/>
    <w:rsid w:val="10C92751"/>
    <w:rsid w:val="10CE2690"/>
    <w:rsid w:val="10D41C13"/>
    <w:rsid w:val="10D53C97"/>
    <w:rsid w:val="10D67A78"/>
    <w:rsid w:val="10DB0AB2"/>
    <w:rsid w:val="10DE594C"/>
    <w:rsid w:val="10E64432"/>
    <w:rsid w:val="10FB0565"/>
    <w:rsid w:val="110C2EC8"/>
    <w:rsid w:val="112C6B4A"/>
    <w:rsid w:val="112D0A82"/>
    <w:rsid w:val="11333687"/>
    <w:rsid w:val="11442F7C"/>
    <w:rsid w:val="11472ECB"/>
    <w:rsid w:val="114E7D6C"/>
    <w:rsid w:val="1162758E"/>
    <w:rsid w:val="11633434"/>
    <w:rsid w:val="11764AB3"/>
    <w:rsid w:val="118754ED"/>
    <w:rsid w:val="11A4317A"/>
    <w:rsid w:val="11AD3B9D"/>
    <w:rsid w:val="11B37EDE"/>
    <w:rsid w:val="11BE49CB"/>
    <w:rsid w:val="11CB0C2A"/>
    <w:rsid w:val="11EB2356"/>
    <w:rsid w:val="12095006"/>
    <w:rsid w:val="12151DE6"/>
    <w:rsid w:val="121D005D"/>
    <w:rsid w:val="123C2567"/>
    <w:rsid w:val="123C7D7D"/>
    <w:rsid w:val="12484C97"/>
    <w:rsid w:val="124934C8"/>
    <w:rsid w:val="124C4A07"/>
    <w:rsid w:val="12506D6C"/>
    <w:rsid w:val="12531634"/>
    <w:rsid w:val="12551A96"/>
    <w:rsid w:val="125B0685"/>
    <w:rsid w:val="125D29B2"/>
    <w:rsid w:val="12681ADA"/>
    <w:rsid w:val="12786E53"/>
    <w:rsid w:val="12893F0D"/>
    <w:rsid w:val="129A4C29"/>
    <w:rsid w:val="12A23C3D"/>
    <w:rsid w:val="12D11A0E"/>
    <w:rsid w:val="12D573C4"/>
    <w:rsid w:val="12D9373B"/>
    <w:rsid w:val="12E1144F"/>
    <w:rsid w:val="12E12594"/>
    <w:rsid w:val="12F20F97"/>
    <w:rsid w:val="130A14FD"/>
    <w:rsid w:val="131B0665"/>
    <w:rsid w:val="131D0AB8"/>
    <w:rsid w:val="131D33AA"/>
    <w:rsid w:val="13283438"/>
    <w:rsid w:val="132B5842"/>
    <w:rsid w:val="133D21E6"/>
    <w:rsid w:val="134651E4"/>
    <w:rsid w:val="134E2B49"/>
    <w:rsid w:val="134F4DF3"/>
    <w:rsid w:val="135B69BE"/>
    <w:rsid w:val="13635B34"/>
    <w:rsid w:val="136C1404"/>
    <w:rsid w:val="137B274B"/>
    <w:rsid w:val="137D3FC2"/>
    <w:rsid w:val="137E4FE2"/>
    <w:rsid w:val="13804374"/>
    <w:rsid w:val="13817A9F"/>
    <w:rsid w:val="138D4AE5"/>
    <w:rsid w:val="13AA398D"/>
    <w:rsid w:val="13BF4314"/>
    <w:rsid w:val="13FA16D7"/>
    <w:rsid w:val="13FA6CCA"/>
    <w:rsid w:val="13FC0FBF"/>
    <w:rsid w:val="13FE1627"/>
    <w:rsid w:val="13FE499D"/>
    <w:rsid w:val="141A5952"/>
    <w:rsid w:val="141D5376"/>
    <w:rsid w:val="14264834"/>
    <w:rsid w:val="14280D79"/>
    <w:rsid w:val="142B4782"/>
    <w:rsid w:val="143E30A7"/>
    <w:rsid w:val="143E39EE"/>
    <w:rsid w:val="14410C78"/>
    <w:rsid w:val="14413405"/>
    <w:rsid w:val="14473C3E"/>
    <w:rsid w:val="145C7404"/>
    <w:rsid w:val="146379DC"/>
    <w:rsid w:val="14771A3A"/>
    <w:rsid w:val="147A39E8"/>
    <w:rsid w:val="148071E1"/>
    <w:rsid w:val="148B1F5A"/>
    <w:rsid w:val="1497399C"/>
    <w:rsid w:val="149877B1"/>
    <w:rsid w:val="14991396"/>
    <w:rsid w:val="149E3A27"/>
    <w:rsid w:val="14AE3111"/>
    <w:rsid w:val="14B05EA0"/>
    <w:rsid w:val="14B34F71"/>
    <w:rsid w:val="14B60906"/>
    <w:rsid w:val="14BA451C"/>
    <w:rsid w:val="14C26007"/>
    <w:rsid w:val="14D93303"/>
    <w:rsid w:val="14DD1D75"/>
    <w:rsid w:val="14E0263E"/>
    <w:rsid w:val="14E110DF"/>
    <w:rsid w:val="14E45125"/>
    <w:rsid w:val="14EB5EDD"/>
    <w:rsid w:val="14F23538"/>
    <w:rsid w:val="14F743F6"/>
    <w:rsid w:val="15002BFB"/>
    <w:rsid w:val="150D50F4"/>
    <w:rsid w:val="15217404"/>
    <w:rsid w:val="15360DE2"/>
    <w:rsid w:val="15366915"/>
    <w:rsid w:val="15514623"/>
    <w:rsid w:val="15587FA2"/>
    <w:rsid w:val="155A3CD4"/>
    <w:rsid w:val="15623762"/>
    <w:rsid w:val="1577524D"/>
    <w:rsid w:val="158B572B"/>
    <w:rsid w:val="15963F38"/>
    <w:rsid w:val="15980E00"/>
    <w:rsid w:val="15A97497"/>
    <w:rsid w:val="15D8326C"/>
    <w:rsid w:val="15D8662D"/>
    <w:rsid w:val="16080FBC"/>
    <w:rsid w:val="1630063C"/>
    <w:rsid w:val="163A2DDC"/>
    <w:rsid w:val="164A69C4"/>
    <w:rsid w:val="164B4974"/>
    <w:rsid w:val="165B6C30"/>
    <w:rsid w:val="165F01B9"/>
    <w:rsid w:val="16604E1C"/>
    <w:rsid w:val="16757BA0"/>
    <w:rsid w:val="168A36A8"/>
    <w:rsid w:val="16984CAF"/>
    <w:rsid w:val="169971D6"/>
    <w:rsid w:val="169A4E6C"/>
    <w:rsid w:val="16B41DDB"/>
    <w:rsid w:val="16C9408F"/>
    <w:rsid w:val="16D828C5"/>
    <w:rsid w:val="16E2365A"/>
    <w:rsid w:val="16E462D5"/>
    <w:rsid w:val="17077EB5"/>
    <w:rsid w:val="170B7880"/>
    <w:rsid w:val="17222D80"/>
    <w:rsid w:val="173B3509"/>
    <w:rsid w:val="173C278A"/>
    <w:rsid w:val="173F1A9A"/>
    <w:rsid w:val="17402D38"/>
    <w:rsid w:val="17433E70"/>
    <w:rsid w:val="17580CB5"/>
    <w:rsid w:val="175D1EE9"/>
    <w:rsid w:val="175E2BF0"/>
    <w:rsid w:val="1762681B"/>
    <w:rsid w:val="17802E0F"/>
    <w:rsid w:val="178C2597"/>
    <w:rsid w:val="17990F64"/>
    <w:rsid w:val="179C29A0"/>
    <w:rsid w:val="17A4798D"/>
    <w:rsid w:val="17A51235"/>
    <w:rsid w:val="17C43491"/>
    <w:rsid w:val="17C6498B"/>
    <w:rsid w:val="17C86CA2"/>
    <w:rsid w:val="17CD1485"/>
    <w:rsid w:val="17D912A0"/>
    <w:rsid w:val="17ED541E"/>
    <w:rsid w:val="180A2CA6"/>
    <w:rsid w:val="1832454E"/>
    <w:rsid w:val="1833144F"/>
    <w:rsid w:val="183A2D72"/>
    <w:rsid w:val="183E4950"/>
    <w:rsid w:val="184C2715"/>
    <w:rsid w:val="184C3612"/>
    <w:rsid w:val="18593553"/>
    <w:rsid w:val="18710A05"/>
    <w:rsid w:val="187B4F7B"/>
    <w:rsid w:val="18A72A4F"/>
    <w:rsid w:val="18B13B63"/>
    <w:rsid w:val="18EF364B"/>
    <w:rsid w:val="18EF37C8"/>
    <w:rsid w:val="18F471C8"/>
    <w:rsid w:val="18FA3766"/>
    <w:rsid w:val="18FF4B79"/>
    <w:rsid w:val="19025170"/>
    <w:rsid w:val="19150669"/>
    <w:rsid w:val="193C6C54"/>
    <w:rsid w:val="193C7213"/>
    <w:rsid w:val="19476630"/>
    <w:rsid w:val="194B4144"/>
    <w:rsid w:val="194D409D"/>
    <w:rsid w:val="19564810"/>
    <w:rsid w:val="196A2F35"/>
    <w:rsid w:val="199B120A"/>
    <w:rsid w:val="19BF3B78"/>
    <w:rsid w:val="19C91925"/>
    <w:rsid w:val="19E2423B"/>
    <w:rsid w:val="19EC1F99"/>
    <w:rsid w:val="19FF323E"/>
    <w:rsid w:val="1A0858B9"/>
    <w:rsid w:val="1A097427"/>
    <w:rsid w:val="1A1B1DFD"/>
    <w:rsid w:val="1A223EA1"/>
    <w:rsid w:val="1A272624"/>
    <w:rsid w:val="1A2B6B85"/>
    <w:rsid w:val="1A5E25AD"/>
    <w:rsid w:val="1A64072F"/>
    <w:rsid w:val="1A696BD6"/>
    <w:rsid w:val="1A6C7A69"/>
    <w:rsid w:val="1A7862A5"/>
    <w:rsid w:val="1A7F4A69"/>
    <w:rsid w:val="1A86164D"/>
    <w:rsid w:val="1A98008F"/>
    <w:rsid w:val="1AA02474"/>
    <w:rsid w:val="1ABD5F72"/>
    <w:rsid w:val="1AD00EA9"/>
    <w:rsid w:val="1AD12BA1"/>
    <w:rsid w:val="1AE21779"/>
    <w:rsid w:val="1AE56EF2"/>
    <w:rsid w:val="1AEF702D"/>
    <w:rsid w:val="1AF6417B"/>
    <w:rsid w:val="1AF9682F"/>
    <w:rsid w:val="1B117FBC"/>
    <w:rsid w:val="1B13758B"/>
    <w:rsid w:val="1B174F88"/>
    <w:rsid w:val="1B1929CE"/>
    <w:rsid w:val="1B20594A"/>
    <w:rsid w:val="1B4B0756"/>
    <w:rsid w:val="1B5610EC"/>
    <w:rsid w:val="1B5A765D"/>
    <w:rsid w:val="1B6668A1"/>
    <w:rsid w:val="1B7063FB"/>
    <w:rsid w:val="1B740537"/>
    <w:rsid w:val="1B7442DC"/>
    <w:rsid w:val="1B850C3B"/>
    <w:rsid w:val="1B867078"/>
    <w:rsid w:val="1B9216CC"/>
    <w:rsid w:val="1BAB3902"/>
    <w:rsid w:val="1BCF61C3"/>
    <w:rsid w:val="1BDB37EC"/>
    <w:rsid w:val="1C10218F"/>
    <w:rsid w:val="1C154C9C"/>
    <w:rsid w:val="1C164975"/>
    <w:rsid w:val="1C167948"/>
    <w:rsid w:val="1C40205E"/>
    <w:rsid w:val="1C46250D"/>
    <w:rsid w:val="1C521A79"/>
    <w:rsid w:val="1C736B3A"/>
    <w:rsid w:val="1C902EBB"/>
    <w:rsid w:val="1C9C060C"/>
    <w:rsid w:val="1CA23032"/>
    <w:rsid w:val="1CAD0F00"/>
    <w:rsid w:val="1CBA4059"/>
    <w:rsid w:val="1CDB5C26"/>
    <w:rsid w:val="1CE668CD"/>
    <w:rsid w:val="1CE776C2"/>
    <w:rsid w:val="1CE92366"/>
    <w:rsid w:val="1CEF7489"/>
    <w:rsid w:val="1CF24FB6"/>
    <w:rsid w:val="1D04213C"/>
    <w:rsid w:val="1D0D1FF5"/>
    <w:rsid w:val="1D212BCC"/>
    <w:rsid w:val="1D217417"/>
    <w:rsid w:val="1D252F01"/>
    <w:rsid w:val="1D3035DF"/>
    <w:rsid w:val="1D306AFA"/>
    <w:rsid w:val="1D374B63"/>
    <w:rsid w:val="1D4B7A78"/>
    <w:rsid w:val="1D6577E8"/>
    <w:rsid w:val="1D6A78CE"/>
    <w:rsid w:val="1D6C42F9"/>
    <w:rsid w:val="1D73354B"/>
    <w:rsid w:val="1D841BD3"/>
    <w:rsid w:val="1D8852CC"/>
    <w:rsid w:val="1D8E05E0"/>
    <w:rsid w:val="1D9343A9"/>
    <w:rsid w:val="1D997270"/>
    <w:rsid w:val="1DA87B94"/>
    <w:rsid w:val="1DAE4EBA"/>
    <w:rsid w:val="1DD27B0D"/>
    <w:rsid w:val="1DF3779C"/>
    <w:rsid w:val="1E0106A8"/>
    <w:rsid w:val="1E091956"/>
    <w:rsid w:val="1E0A2FF3"/>
    <w:rsid w:val="1E180A2E"/>
    <w:rsid w:val="1E1837C0"/>
    <w:rsid w:val="1E22658A"/>
    <w:rsid w:val="1E242B61"/>
    <w:rsid w:val="1E2C775D"/>
    <w:rsid w:val="1E2E5321"/>
    <w:rsid w:val="1E2E5A63"/>
    <w:rsid w:val="1E364C55"/>
    <w:rsid w:val="1E394074"/>
    <w:rsid w:val="1E3B4461"/>
    <w:rsid w:val="1E3C1D96"/>
    <w:rsid w:val="1E3C35A3"/>
    <w:rsid w:val="1E485D12"/>
    <w:rsid w:val="1E4E586F"/>
    <w:rsid w:val="1E621624"/>
    <w:rsid w:val="1E6D4F7A"/>
    <w:rsid w:val="1E7A11A1"/>
    <w:rsid w:val="1EA154CB"/>
    <w:rsid w:val="1EA21A6F"/>
    <w:rsid w:val="1EAF2D56"/>
    <w:rsid w:val="1EB05A13"/>
    <w:rsid w:val="1EB733AE"/>
    <w:rsid w:val="1EC111FE"/>
    <w:rsid w:val="1EC55B73"/>
    <w:rsid w:val="1EC56424"/>
    <w:rsid w:val="1ECF1D35"/>
    <w:rsid w:val="1ED1457F"/>
    <w:rsid w:val="1EDC3027"/>
    <w:rsid w:val="1EF715AA"/>
    <w:rsid w:val="1EFD58DD"/>
    <w:rsid w:val="1F0017E2"/>
    <w:rsid w:val="1F130CEC"/>
    <w:rsid w:val="1F1E30AE"/>
    <w:rsid w:val="1F236C22"/>
    <w:rsid w:val="1F2E72B5"/>
    <w:rsid w:val="1F324BC5"/>
    <w:rsid w:val="1F356410"/>
    <w:rsid w:val="1F514728"/>
    <w:rsid w:val="1F600861"/>
    <w:rsid w:val="1F68395E"/>
    <w:rsid w:val="1F69024E"/>
    <w:rsid w:val="1F6F5BAF"/>
    <w:rsid w:val="1F73581A"/>
    <w:rsid w:val="1F772AD5"/>
    <w:rsid w:val="1F8A7A22"/>
    <w:rsid w:val="1F971C1A"/>
    <w:rsid w:val="1FAA1402"/>
    <w:rsid w:val="1FB53D4D"/>
    <w:rsid w:val="1FB972FD"/>
    <w:rsid w:val="1FBA0B09"/>
    <w:rsid w:val="1FC12D0E"/>
    <w:rsid w:val="1FC15D5A"/>
    <w:rsid w:val="1FD67F21"/>
    <w:rsid w:val="201D505F"/>
    <w:rsid w:val="20231707"/>
    <w:rsid w:val="202925FB"/>
    <w:rsid w:val="20402B0F"/>
    <w:rsid w:val="20475AF7"/>
    <w:rsid w:val="204D0B7C"/>
    <w:rsid w:val="205A766A"/>
    <w:rsid w:val="206013A8"/>
    <w:rsid w:val="206225C2"/>
    <w:rsid w:val="20777818"/>
    <w:rsid w:val="20806B26"/>
    <w:rsid w:val="20A26277"/>
    <w:rsid w:val="20A3039D"/>
    <w:rsid w:val="20B35D74"/>
    <w:rsid w:val="20BB59C3"/>
    <w:rsid w:val="20C12338"/>
    <w:rsid w:val="20C66EB8"/>
    <w:rsid w:val="20C7284E"/>
    <w:rsid w:val="20C731C9"/>
    <w:rsid w:val="20D2439F"/>
    <w:rsid w:val="20D25B5C"/>
    <w:rsid w:val="20D81861"/>
    <w:rsid w:val="20E658BD"/>
    <w:rsid w:val="20E81CD8"/>
    <w:rsid w:val="20EA31A8"/>
    <w:rsid w:val="20EF09AB"/>
    <w:rsid w:val="20F537F9"/>
    <w:rsid w:val="211154D1"/>
    <w:rsid w:val="211240B4"/>
    <w:rsid w:val="211B60C5"/>
    <w:rsid w:val="211E1680"/>
    <w:rsid w:val="21273141"/>
    <w:rsid w:val="212E4673"/>
    <w:rsid w:val="2135199C"/>
    <w:rsid w:val="21610885"/>
    <w:rsid w:val="21656310"/>
    <w:rsid w:val="2169443F"/>
    <w:rsid w:val="21795D6A"/>
    <w:rsid w:val="218108AA"/>
    <w:rsid w:val="21861B5A"/>
    <w:rsid w:val="219C37D9"/>
    <w:rsid w:val="219E4722"/>
    <w:rsid w:val="21AD3D42"/>
    <w:rsid w:val="21B35F5B"/>
    <w:rsid w:val="21B635C2"/>
    <w:rsid w:val="21B967B4"/>
    <w:rsid w:val="21BB57FA"/>
    <w:rsid w:val="21BF7633"/>
    <w:rsid w:val="21C77DB3"/>
    <w:rsid w:val="21E243E5"/>
    <w:rsid w:val="21FC6936"/>
    <w:rsid w:val="220235BD"/>
    <w:rsid w:val="220427F8"/>
    <w:rsid w:val="220A21C3"/>
    <w:rsid w:val="220C1DA7"/>
    <w:rsid w:val="220F0971"/>
    <w:rsid w:val="221F0BEF"/>
    <w:rsid w:val="22214302"/>
    <w:rsid w:val="222467FF"/>
    <w:rsid w:val="222C30E9"/>
    <w:rsid w:val="223E1B72"/>
    <w:rsid w:val="224065B8"/>
    <w:rsid w:val="224A2C9D"/>
    <w:rsid w:val="224B50E4"/>
    <w:rsid w:val="225D4E08"/>
    <w:rsid w:val="226008B9"/>
    <w:rsid w:val="22744A09"/>
    <w:rsid w:val="22941F5F"/>
    <w:rsid w:val="229C1D71"/>
    <w:rsid w:val="22A16AB1"/>
    <w:rsid w:val="22BE5965"/>
    <w:rsid w:val="22DE35B9"/>
    <w:rsid w:val="22E745AC"/>
    <w:rsid w:val="22E8743A"/>
    <w:rsid w:val="230A6506"/>
    <w:rsid w:val="2310316F"/>
    <w:rsid w:val="23111EF6"/>
    <w:rsid w:val="23133A7A"/>
    <w:rsid w:val="23137419"/>
    <w:rsid w:val="23297117"/>
    <w:rsid w:val="232B7B54"/>
    <w:rsid w:val="232E40E5"/>
    <w:rsid w:val="23415615"/>
    <w:rsid w:val="23516AAA"/>
    <w:rsid w:val="235556E4"/>
    <w:rsid w:val="23646DDE"/>
    <w:rsid w:val="23676583"/>
    <w:rsid w:val="23747FE5"/>
    <w:rsid w:val="23863BB3"/>
    <w:rsid w:val="239161EE"/>
    <w:rsid w:val="23964123"/>
    <w:rsid w:val="23A829E4"/>
    <w:rsid w:val="23A961F9"/>
    <w:rsid w:val="23AD7881"/>
    <w:rsid w:val="23B206B7"/>
    <w:rsid w:val="23D76E86"/>
    <w:rsid w:val="23DC1C7B"/>
    <w:rsid w:val="24277E67"/>
    <w:rsid w:val="24300393"/>
    <w:rsid w:val="243556CB"/>
    <w:rsid w:val="24433C02"/>
    <w:rsid w:val="24605F99"/>
    <w:rsid w:val="24637472"/>
    <w:rsid w:val="246F3F3D"/>
    <w:rsid w:val="247800F7"/>
    <w:rsid w:val="247C4E37"/>
    <w:rsid w:val="247D6559"/>
    <w:rsid w:val="2484621F"/>
    <w:rsid w:val="248F31AF"/>
    <w:rsid w:val="24AD0815"/>
    <w:rsid w:val="24D27CDF"/>
    <w:rsid w:val="24D74B75"/>
    <w:rsid w:val="24E2751F"/>
    <w:rsid w:val="24EA55EF"/>
    <w:rsid w:val="24FD4E05"/>
    <w:rsid w:val="25222DA7"/>
    <w:rsid w:val="25227691"/>
    <w:rsid w:val="25315652"/>
    <w:rsid w:val="2543483C"/>
    <w:rsid w:val="25481FEB"/>
    <w:rsid w:val="255169C1"/>
    <w:rsid w:val="25576876"/>
    <w:rsid w:val="25603208"/>
    <w:rsid w:val="25655BA7"/>
    <w:rsid w:val="25730154"/>
    <w:rsid w:val="259C138E"/>
    <w:rsid w:val="25A134D8"/>
    <w:rsid w:val="25B25845"/>
    <w:rsid w:val="25BB2B1F"/>
    <w:rsid w:val="25C20A10"/>
    <w:rsid w:val="25CE1869"/>
    <w:rsid w:val="25D87143"/>
    <w:rsid w:val="25EB7E37"/>
    <w:rsid w:val="25F30E53"/>
    <w:rsid w:val="25F94C0A"/>
    <w:rsid w:val="261056CF"/>
    <w:rsid w:val="2615361D"/>
    <w:rsid w:val="261837E5"/>
    <w:rsid w:val="26236AF4"/>
    <w:rsid w:val="26256A86"/>
    <w:rsid w:val="26297D8B"/>
    <w:rsid w:val="262C2905"/>
    <w:rsid w:val="262D00CA"/>
    <w:rsid w:val="26423C11"/>
    <w:rsid w:val="26484250"/>
    <w:rsid w:val="264D6004"/>
    <w:rsid w:val="26524E50"/>
    <w:rsid w:val="266E068F"/>
    <w:rsid w:val="26774555"/>
    <w:rsid w:val="26974A53"/>
    <w:rsid w:val="26AA2D72"/>
    <w:rsid w:val="26B8342E"/>
    <w:rsid w:val="26CA0E46"/>
    <w:rsid w:val="26CF7CB6"/>
    <w:rsid w:val="26D265FA"/>
    <w:rsid w:val="26DC13AE"/>
    <w:rsid w:val="26F33758"/>
    <w:rsid w:val="2703298B"/>
    <w:rsid w:val="27052636"/>
    <w:rsid w:val="27095AEE"/>
    <w:rsid w:val="270D7651"/>
    <w:rsid w:val="27103434"/>
    <w:rsid w:val="272224F5"/>
    <w:rsid w:val="272947F6"/>
    <w:rsid w:val="27341334"/>
    <w:rsid w:val="273654DC"/>
    <w:rsid w:val="276C789F"/>
    <w:rsid w:val="276E76FE"/>
    <w:rsid w:val="276F1B04"/>
    <w:rsid w:val="27792D6C"/>
    <w:rsid w:val="277B57D5"/>
    <w:rsid w:val="27856A07"/>
    <w:rsid w:val="27AD7B25"/>
    <w:rsid w:val="27AE32AF"/>
    <w:rsid w:val="27B82CF1"/>
    <w:rsid w:val="27BF50FD"/>
    <w:rsid w:val="27C9453A"/>
    <w:rsid w:val="27CF1B3B"/>
    <w:rsid w:val="27D348FC"/>
    <w:rsid w:val="27E21D8F"/>
    <w:rsid w:val="27E72F9E"/>
    <w:rsid w:val="27F01BFD"/>
    <w:rsid w:val="28074783"/>
    <w:rsid w:val="28097CC1"/>
    <w:rsid w:val="28302D3A"/>
    <w:rsid w:val="28317B9D"/>
    <w:rsid w:val="28346095"/>
    <w:rsid w:val="283F4546"/>
    <w:rsid w:val="2842656D"/>
    <w:rsid w:val="284A6808"/>
    <w:rsid w:val="284E694A"/>
    <w:rsid w:val="28530333"/>
    <w:rsid w:val="285512E5"/>
    <w:rsid w:val="285F3A7B"/>
    <w:rsid w:val="28644765"/>
    <w:rsid w:val="289A0B5D"/>
    <w:rsid w:val="28A1185F"/>
    <w:rsid w:val="28A37C9F"/>
    <w:rsid w:val="28B3290A"/>
    <w:rsid w:val="28B706BF"/>
    <w:rsid w:val="28BF19CC"/>
    <w:rsid w:val="28C0555A"/>
    <w:rsid w:val="28D764C4"/>
    <w:rsid w:val="28E714D3"/>
    <w:rsid w:val="28E822FA"/>
    <w:rsid w:val="28E86650"/>
    <w:rsid w:val="28EE6641"/>
    <w:rsid w:val="2917096D"/>
    <w:rsid w:val="29293963"/>
    <w:rsid w:val="292D2C7B"/>
    <w:rsid w:val="29304B56"/>
    <w:rsid w:val="29337D8A"/>
    <w:rsid w:val="29345F28"/>
    <w:rsid w:val="293F0A17"/>
    <w:rsid w:val="293F2153"/>
    <w:rsid w:val="29433AEC"/>
    <w:rsid w:val="29434C4E"/>
    <w:rsid w:val="29466C05"/>
    <w:rsid w:val="29495464"/>
    <w:rsid w:val="296200B1"/>
    <w:rsid w:val="29674305"/>
    <w:rsid w:val="296B42CC"/>
    <w:rsid w:val="29726BBD"/>
    <w:rsid w:val="297A3250"/>
    <w:rsid w:val="298C2A75"/>
    <w:rsid w:val="298D21E1"/>
    <w:rsid w:val="29901AB8"/>
    <w:rsid w:val="29901B67"/>
    <w:rsid w:val="299558E9"/>
    <w:rsid w:val="299E6BC4"/>
    <w:rsid w:val="299F0172"/>
    <w:rsid w:val="29AC33E3"/>
    <w:rsid w:val="29B30C69"/>
    <w:rsid w:val="29B33007"/>
    <w:rsid w:val="29B35A24"/>
    <w:rsid w:val="29CF1641"/>
    <w:rsid w:val="29D3516A"/>
    <w:rsid w:val="29D55AC8"/>
    <w:rsid w:val="29D57CEC"/>
    <w:rsid w:val="29E63EBF"/>
    <w:rsid w:val="29F90419"/>
    <w:rsid w:val="29FD7D7D"/>
    <w:rsid w:val="2A027CD9"/>
    <w:rsid w:val="2A0E179D"/>
    <w:rsid w:val="2A1C4AFA"/>
    <w:rsid w:val="2A240106"/>
    <w:rsid w:val="2A26561F"/>
    <w:rsid w:val="2A321C62"/>
    <w:rsid w:val="2A405857"/>
    <w:rsid w:val="2A425FDA"/>
    <w:rsid w:val="2A4669FB"/>
    <w:rsid w:val="2A53375B"/>
    <w:rsid w:val="2A695552"/>
    <w:rsid w:val="2A753146"/>
    <w:rsid w:val="2A7A4C23"/>
    <w:rsid w:val="2A845B81"/>
    <w:rsid w:val="2A954FA1"/>
    <w:rsid w:val="2A9762BF"/>
    <w:rsid w:val="2A9B38C5"/>
    <w:rsid w:val="2AA471FE"/>
    <w:rsid w:val="2AAC6D7E"/>
    <w:rsid w:val="2AB90A0E"/>
    <w:rsid w:val="2ABD3ED4"/>
    <w:rsid w:val="2AD80214"/>
    <w:rsid w:val="2AE51F58"/>
    <w:rsid w:val="2AE92449"/>
    <w:rsid w:val="2AEC5985"/>
    <w:rsid w:val="2AF93A04"/>
    <w:rsid w:val="2B0D1AEB"/>
    <w:rsid w:val="2B22046F"/>
    <w:rsid w:val="2B334DAD"/>
    <w:rsid w:val="2B3D0F74"/>
    <w:rsid w:val="2B3E0B21"/>
    <w:rsid w:val="2B482819"/>
    <w:rsid w:val="2B50574E"/>
    <w:rsid w:val="2B5C402C"/>
    <w:rsid w:val="2B6B403D"/>
    <w:rsid w:val="2B723271"/>
    <w:rsid w:val="2B791DB0"/>
    <w:rsid w:val="2B954C11"/>
    <w:rsid w:val="2BB27BCF"/>
    <w:rsid w:val="2BBD41AA"/>
    <w:rsid w:val="2BC2725F"/>
    <w:rsid w:val="2BCB51D1"/>
    <w:rsid w:val="2BCF0A83"/>
    <w:rsid w:val="2BD32141"/>
    <w:rsid w:val="2BD7639A"/>
    <w:rsid w:val="2BDD1D32"/>
    <w:rsid w:val="2BE22968"/>
    <w:rsid w:val="2BEA26A2"/>
    <w:rsid w:val="2BEC2BC8"/>
    <w:rsid w:val="2BF26E50"/>
    <w:rsid w:val="2BF42E38"/>
    <w:rsid w:val="2BF81FC8"/>
    <w:rsid w:val="2BF95918"/>
    <w:rsid w:val="2BFF3940"/>
    <w:rsid w:val="2C0467FC"/>
    <w:rsid w:val="2C132E15"/>
    <w:rsid w:val="2C3122FD"/>
    <w:rsid w:val="2C3C6F61"/>
    <w:rsid w:val="2C492799"/>
    <w:rsid w:val="2C493B09"/>
    <w:rsid w:val="2C500722"/>
    <w:rsid w:val="2C5D1794"/>
    <w:rsid w:val="2C712719"/>
    <w:rsid w:val="2C77367B"/>
    <w:rsid w:val="2C8237F7"/>
    <w:rsid w:val="2C95356A"/>
    <w:rsid w:val="2C966262"/>
    <w:rsid w:val="2C976CC6"/>
    <w:rsid w:val="2C9C4954"/>
    <w:rsid w:val="2CA04194"/>
    <w:rsid w:val="2CA500FD"/>
    <w:rsid w:val="2CAC3262"/>
    <w:rsid w:val="2CB45BFA"/>
    <w:rsid w:val="2CC45E7E"/>
    <w:rsid w:val="2CC62E89"/>
    <w:rsid w:val="2CC80581"/>
    <w:rsid w:val="2CD82F9C"/>
    <w:rsid w:val="2CDC477C"/>
    <w:rsid w:val="2CE024B8"/>
    <w:rsid w:val="2CE17D55"/>
    <w:rsid w:val="2CFD5996"/>
    <w:rsid w:val="2CFE516C"/>
    <w:rsid w:val="2D0E3A4A"/>
    <w:rsid w:val="2D1111DB"/>
    <w:rsid w:val="2D162154"/>
    <w:rsid w:val="2D1C20E0"/>
    <w:rsid w:val="2D1F3D97"/>
    <w:rsid w:val="2D223F9F"/>
    <w:rsid w:val="2D2C7A61"/>
    <w:rsid w:val="2D2E6EDF"/>
    <w:rsid w:val="2D2F64C9"/>
    <w:rsid w:val="2D316EAE"/>
    <w:rsid w:val="2D383F63"/>
    <w:rsid w:val="2D3C5512"/>
    <w:rsid w:val="2D3E68D6"/>
    <w:rsid w:val="2D411A2A"/>
    <w:rsid w:val="2D543135"/>
    <w:rsid w:val="2D644895"/>
    <w:rsid w:val="2D6E5744"/>
    <w:rsid w:val="2D6F357A"/>
    <w:rsid w:val="2D7E7E1A"/>
    <w:rsid w:val="2D8019EC"/>
    <w:rsid w:val="2D90207C"/>
    <w:rsid w:val="2D920025"/>
    <w:rsid w:val="2DA91B97"/>
    <w:rsid w:val="2DD07C94"/>
    <w:rsid w:val="2DF00272"/>
    <w:rsid w:val="2DF32CBA"/>
    <w:rsid w:val="2E1B4DA4"/>
    <w:rsid w:val="2E1E33BA"/>
    <w:rsid w:val="2E211582"/>
    <w:rsid w:val="2E4100CE"/>
    <w:rsid w:val="2E526676"/>
    <w:rsid w:val="2E5355FB"/>
    <w:rsid w:val="2E5F439E"/>
    <w:rsid w:val="2E632150"/>
    <w:rsid w:val="2E6F1633"/>
    <w:rsid w:val="2E745943"/>
    <w:rsid w:val="2E7A6CD2"/>
    <w:rsid w:val="2E985474"/>
    <w:rsid w:val="2E991974"/>
    <w:rsid w:val="2EA53D97"/>
    <w:rsid w:val="2EA73974"/>
    <w:rsid w:val="2EBD4115"/>
    <w:rsid w:val="2EC979BF"/>
    <w:rsid w:val="2ECD2BC6"/>
    <w:rsid w:val="2ECF40B3"/>
    <w:rsid w:val="2ED24EE0"/>
    <w:rsid w:val="2EDA07FD"/>
    <w:rsid w:val="2EDD6007"/>
    <w:rsid w:val="2EDE13A1"/>
    <w:rsid w:val="2EE6569D"/>
    <w:rsid w:val="2EF34ABE"/>
    <w:rsid w:val="2EF82797"/>
    <w:rsid w:val="2F0E2A64"/>
    <w:rsid w:val="2F0F564C"/>
    <w:rsid w:val="2F1729FF"/>
    <w:rsid w:val="2F1F249B"/>
    <w:rsid w:val="2F394742"/>
    <w:rsid w:val="2F431A4F"/>
    <w:rsid w:val="2F476826"/>
    <w:rsid w:val="2F493199"/>
    <w:rsid w:val="2F496CAB"/>
    <w:rsid w:val="2F5508C4"/>
    <w:rsid w:val="2F5935B4"/>
    <w:rsid w:val="2F7F364D"/>
    <w:rsid w:val="2F8D5D46"/>
    <w:rsid w:val="2F8F7E86"/>
    <w:rsid w:val="2FBA0EF2"/>
    <w:rsid w:val="2FBB63F5"/>
    <w:rsid w:val="2FC03961"/>
    <w:rsid w:val="2FCD5CCD"/>
    <w:rsid w:val="2FDC30D1"/>
    <w:rsid w:val="2FE45667"/>
    <w:rsid w:val="2FE85FC3"/>
    <w:rsid w:val="2FF75443"/>
    <w:rsid w:val="30007CC4"/>
    <w:rsid w:val="30034209"/>
    <w:rsid w:val="30182178"/>
    <w:rsid w:val="301D468F"/>
    <w:rsid w:val="30286281"/>
    <w:rsid w:val="302C5E06"/>
    <w:rsid w:val="303740FA"/>
    <w:rsid w:val="303B15F1"/>
    <w:rsid w:val="30455796"/>
    <w:rsid w:val="30506CEF"/>
    <w:rsid w:val="30516436"/>
    <w:rsid w:val="30554460"/>
    <w:rsid w:val="30623584"/>
    <w:rsid w:val="30633B08"/>
    <w:rsid w:val="306A0E03"/>
    <w:rsid w:val="30703AD0"/>
    <w:rsid w:val="30837270"/>
    <w:rsid w:val="309362C2"/>
    <w:rsid w:val="30A32C94"/>
    <w:rsid w:val="30AB7A7F"/>
    <w:rsid w:val="30B963AD"/>
    <w:rsid w:val="30D460A1"/>
    <w:rsid w:val="30DA1B8A"/>
    <w:rsid w:val="30DA2A75"/>
    <w:rsid w:val="30ED4EB8"/>
    <w:rsid w:val="30EF798E"/>
    <w:rsid w:val="30F027C6"/>
    <w:rsid w:val="3106457C"/>
    <w:rsid w:val="310D7674"/>
    <w:rsid w:val="311F5758"/>
    <w:rsid w:val="3128257E"/>
    <w:rsid w:val="313266E4"/>
    <w:rsid w:val="31487039"/>
    <w:rsid w:val="314B12FE"/>
    <w:rsid w:val="314D6932"/>
    <w:rsid w:val="31581C14"/>
    <w:rsid w:val="315F57B2"/>
    <w:rsid w:val="316D6009"/>
    <w:rsid w:val="318A73A0"/>
    <w:rsid w:val="318B0272"/>
    <w:rsid w:val="319F175A"/>
    <w:rsid w:val="31AC6881"/>
    <w:rsid w:val="31B167CA"/>
    <w:rsid w:val="31B84C3D"/>
    <w:rsid w:val="31D263B6"/>
    <w:rsid w:val="31D370A0"/>
    <w:rsid w:val="31D82ED9"/>
    <w:rsid w:val="31DA158C"/>
    <w:rsid w:val="31EF6FBD"/>
    <w:rsid w:val="31FD6C38"/>
    <w:rsid w:val="32054C8F"/>
    <w:rsid w:val="321C125B"/>
    <w:rsid w:val="321E1065"/>
    <w:rsid w:val="3220563E"/>
    <w:rsid w:val="322D70F4"/>
    <w:rsid w:val="32315415"/>
    <w:rsid w:val="32464A28"/>
    <w:rsid w:val="32512666"/>
    <w:rsid w:val="32683BF3"/>
    <w:rsid w:val="32697D81"/>
    <w:rsid w:val="326D4EA1"/>
    <w:rsid w:val="326E3588"/>
    <w:rsid w:val="327B35A5"/>
    <w:rsid w:val="327D78A2"/>
    <w:rsid w:val="328321B8"/>
    <w:rsid w:val="32852BC9"/>
    <w:rsid w:val="328926A6"/>
    <w:rsid w:val="32925CA2"/>
    <w:rsid w:val="32973865"/>
    <w:rsid w:val="329D3459"/>
    <w:rsid w:val="32A81B5C"/>
    <w:rsid w:val="32B76F49"/>
    <w:rsid w:val="32B95697"/>
    <w:rsid w:val="32C261B7"/>
    <w:rsid w:val="32FD40BD"/>
    <w:rsid w:val="32FD4333"/>
    <w:rsid w:val="331944D3"/>
    <w:rsid w:val="332D5E51"/>
    <w:rsid w:val="33306959"/>
    <w:rsid w:val="33333235"/>
    <w:rsid w:val="333C1AE4"/>
    <w:rsid w:val="334453CC"/>
    <w:rsid w:val="335A481D"/>
    <w:rsid w:val="3362286E"/>
    <w:rsid w:val="33666765"/>
    <w:rsid w:val="337623A1"/>
    <w:rsid w:val="338549D7"/>
    <w:rsid w:val="339D041C"/>
    <w:rsid w:val="33C872F6"/>
    <w:rsid w:val="33CE1844"/>
    <w:rsid w:val="33DE7BCA"/>
    <w:rsid w:val="33DF322A"/>
    <w:rsid w:val="33E02FA6"/>
    <w:rsid w:val="33F43C72"/>
    <w:rsid w:val="340F40EB"/>
    <w:rsid w:val="3411046A"/>
    <w:rsid w:val="341529B3"/>
    <w:rsid w:val="3428730C"/>
    <w:rsid w:val="342B12C8"/>
    <w:rsid w:val="3434543C"/>
    <w:rsid w:val="344A5102"/>
    <w:rsid w:val="344E22FD"/>
    <w:rsid w:val="347A325A"/>
    <w:rsid w:val="348241D9"/>
    <w:rsid w:val="3498159C"/>
    <w:rsid w:val="349E5294"/>
    <w:rsid w:val="349E6E1A"/>
    <w:rsid w:val="34BB277A"/>
    <w:rsid w:val="34BD1AE8"/>
    <w:rsid w:val="34C21BDD"/>
    <w:rsid w:val="34C97716"/>
    <w:rsid w:val="34E22112"/>
    <w:rsid w:val="34E86C5E"/>
    <w:rsid w:val="34EA13CE"/>
    <w:rsid w:val="34F73AA0"/>
    <w:rsid w:val="351D7C25"/>
    <w:rsid w:val="351F4B99"/>
    <w:rsid w:val="35281421"/>
    <w:rsid w:val="35333793"/>
    <w:rsid w:val="3534522A"/>
    <w:rsid w:val="354221B9"/>
    <w:rsid w:val="35465C8E"/>
    <w:rsid w:val="3547122E"/>
    <w:rsid w:val="355C4CC0"/>
    <w:rsid w:val="356B4965"/>
    <w:rsid w:val="35706399"/>
    <w:rsid w:val="357D63A6"/>
    <w:rsid w:val="358E2EA9"/>
    <w:rsid w:val="359C0706"/>
    <w:rsid w:val="359C212B"/>
    <w:rsid w:val="35A006B4"/>
    <w:rsid w:val="35A85824"/>
    <w:rsid w:val="35AA3CC1"/>
    <w:rsid w:val="35B949C5"/>
    <w:rsid w:val="35D137BD"/>
    <w:rsid w:val="35D2570D"/>
    <w:rsid w:val="35D710E9"/>
    <w:rsid w:val="35E20C6C"/>
    <w:rsid w:val="35E22907"/>
    <w:rsid w:val="35ED26F2"/>
    <w:rsid w:val="35FC18F7"/>
    <w:rsid w:val="35FE4068"/>
    <w:rsid w:val="35FE5E2E"/>
    <w:rsid w:val="360C461B"/>
    <w:rsid w:val="36107C12"/>
    <w:rsid w:val="361E4929"/>
    <w:rsid w:val="362707CC"/>
    <w:rsid w:val="363C39BB"/>
    <w:rsid w:val="364720B6"/>
    <w:rsid w:val="365D545E"/>
    <w:rsid w:val="36621956"/>
    <w:rsid w:val="3665162D"/>
    <w:rsid w:val="366D6C61"/>
    <w:rsid w:val="36816A50"/>
    <w:rsid w:val="368E3629"/>
    <w:rsid w:val="36990EB1"/>
    <w:rsid w:val="369D2C35"/>
    <w:rsid w:val="36A801F9"/>
    <w:rsid w:val="36C11B57"/>
    <w:rsid w:val="36C133D5"/>
    <w:rsid w:val="36CC0178"/>
    <w:rsid w:val="36CC69A5"/>
    <w:rsid w:val="36CD1918"/>
    <w:rsid w:val="36D645D8"/>
    <w:rsid w:val="36E0445B"/>
    <w:rsid w:val="36E26A6E"/>
    <w:rsid w:val="36E52403"/>
    <w:rsid w:val="37031049"/>
    <w:rsid w:val="370515F7"/>
    <w:rsid w:val="37074807"/>
    <w:rsid w:val="37115FC7"/>
    <w:rsid w:val="37235158"/>
    <w:rsid w:val="372C1BFA"/>
    <w:rsid w:val="372F6590"/>
    <w:rsid w:val="37357164"/>
    <w:rsid w:val="37457F8F"/>
    <w:rsid w:val="375155AB"/>
    <w:rsid w:val="37521F00"/>
    <w:rsid w:val="37656214"/>
    <w:rsid w:val="37780B88"/>
    <w:rsid w:val="377A1745"/>
    <w:rsid w:val="37833739"/>
    <w:rsid w:val="379C6B22"/>
    <w:rsid w:val="37B54650"/>
    <w:rsid w:val="37CF3E82"/>
    <w:rsid w:val="37D64327"/>
    <w:rsid w:val="37E569FA"/>
    <w:rsid w:val="37EB657C"/>
    <w:rsid w:val="37F0120A"/>
    <w:rsid w:val="37FC5A01"/>
    <w:rsid w:val="380251C9"/>
    <w:rsid w:val="38190DFD"/>
    <w:rsid w:val="384F76C8"/>
    <w:rsid w:val="3873266F"/>
    <w:rsid w:val="38734A2C"/>
    <w:rsid w:val="38776431"/>
    <w:rsid w:val="387F0D86"/>
    <w:rsid w:val="388B384A"/>
    <w:rsid w:val="388D50E4"/>
    <w:rsid w:val="38A95D4C"/>
    <w:rsid w:val="38AD15D4"/>
    <w:rsid w:val="38AE6EF8"/>
    <w:rsid w:val="38B25E35"/>
    <w:rsid w:val="38BD6064"/>
    <w:rsid w:val="38C519FD"/>
    <w:rsid w:val="38D104EB"/>
    <w:rsid w:val="38D6497A"/>
    <w:rsid w:val="38DC353B"/>
    <w:rsid w:val="38E61898"/>
    <w:rsid w:val="38EA0149"/>
    <w:rsid w:val="38EA0D08"/>
    <w:rsid w:val="39016D30"/>
    <w:rsid w:val="391627F9"/>
    <w:rsid w:val="3938127B"/>
    <w:rsid w:val="39427484"/>
    <w:rsid w:val="394318B0"/>
    <w:rsid w:val="394A7C83"/>
    <w:rsid w:val="395B661D"/>
    <w:rsid w:val="3963004D"/>
    <w:rsid w:val="396D7BE2"/>
    <w:rsid w:val="39751C5C"/>
    <w:rsid w:val="397A0DDE"/>
    <w:rsid w:val="39805FF4"/>
    <w:rsid w:val="399345ED"/>
    <w:rsid w:val="39A0329A"/>
    <w:rsid w:val="39C43B95"/>
    <w:rsid w:val="39D3009C"/>
    <w:rsid w:val="39DB3168"/>
    <w:rsid w:val="39E875D7"/>
    <w:rsid w:val="3A0E0B7B"/>
    <w:rsid w:val="3A116E84"/>
    <w:rsid w:val="3A1F7ED3"/>
    <w:rsid w:val="3A242B3F"/>
    <w:rsid w:val="3A270B33"/>
    <w:rsid w:val="3A3448CA"/>
    <w:rsid w:val="3A46392F"/>
    <w:rsid w:val="3A4D5B3B"/>
    <w:rsid w:val="3A703D66"/>
    <w:rsid w:val="3A74270F"/>
    <w:rsid w:val="3A7541DC"/>
    <w:rsid w:val="3A7F351B"/>
    <w:rsid w:val="3A8249E9"/>
    <w:rsid w:val="3A91411C"/>
    <w:rsid w:val="3A9A3728"/>
    <w:rsid w:val="3AAD1E04"/>
    <w:rsid w:val="3AB44226"/>
    <w:rsid w:val="3AB50139"/>
    <w:rsid w:val="3ACF0348"/>
    <w:rsid w:val="3AF4776D"/>
    <w:rsid w:val="3B3D5CFD"/>
    <w:rsid w:val="3B504824"/>
    <w:rsid w:val="3B5A425F"/>
    <w:rsid w:val="3B6543F7"/>
    <w:rsid w:val="3B7944AD"/>
    <w:rsid w:val="3B8B30F1"/>
    <w:rsid w:val="3B8D5E33"/>
    <w:rsid w:val="3B8E42B7"/>
    <w:rsid w:val="3BB82996"/>
    <w:rsid w:val="3BD23920"/>
    <w:rsid w:val="3BE451F1"/>
    <w:rsid w:val="3BE607CC"/>
    <w:rsid w:val="3BF1655B"/>
    <w:rsid w:val="3BF307CA"/>
    <w:rsid w:val="3C1B4BD6"/>
    <w:rsid w:val="3C1E4693"/>
    <w:rsid w:val="3C34534B"/>
    <w:rsid w:val="3C4B3C0F"/>
    <w:rsid w:val="3C5A58BF"/>
    <w:rsid w:val="3C5D5202"/>
    <w:rsid w:val="3C690575"/>
    <w:rsid w:val="3C726680"/>
    <w:rsid w:val="3C7548E4"/>
    <w:rsid w:val="3C805CD3"/>
    <w:rsid w:val="3C81720D"/>
    <w:rsid w:val="3C8C63A9"/>
    <w:rsid w:val="3C8E7E0C"/>
    <w:rsid w:val="3C921A92"/>
    <w:rsid w:val="3C961A68"/>
    <w:rsid w:val="3CA35182"/>
    <w:rsid w:val="3CC73E51"/>
    <w:rsid w:val="3CC7694E"/>
    <w:rsid w:val="3CD21E35"/>
    <w:rsid w:val="3CD26E59"/>
    <w:rsid w:val="3CD37BF5"/>
    <w:rsid w:val="3CD811D4"/>
    <w:rsid w:val="3CE75AED"/>
    <w:rsid w:val="3D0D497C"/>
    <w:rsid w:val="3D3732E1"/>
    <w:rsid w:val="3D3D416D"/>
    <w:rsid w:val="3D5317C9"/>
    <w:rsid w:val="3D76203E"/>
    <w:rsid w:val="3D783C20"/>
    <w:rsid w:val="3D8B1F20"/>
    <w:rsid w:val="3D8E12A1"/>
    <w:rsid w:val="3D9360FA"/>
    <w:rsid w:val="3DB82193"/>
    <w:rsid w:val="3DC849E2"/>
    <w:rsid w:val="3DD26143"/>
    <w:rsid w:val="3DD766C4"/>
    <w:rsid w:val="3DDC46B9"/>
    <w:rsid w:val="3DDE4353"/>
    <w:rsid w:val="3DE07ADA"/>
    <w:rsid w:val="3DE6347D"/>
    <w:rsid w:val="3DE977FA"/>
    <w:rsid w:val="3DFB09EB"/>
    <w:rsid w:val="3E2F5961"/>
    <w:rsid w:val="3E343BCD"/>
    <w:rsid w:val="3E5E37BC"/>
    <w:rsid w:val="3E7260BD"/>
    <w:rsid w:val="3E862951"/>
    <w:rsid w:val="3E8C6FE7"/>
    <w:rsid w:val="3E920F9A"/>
    <w:rsid w:val="3E926003"/>
    <w:rsid w:val="3E96337F"/>
    <w:rsid w:val="3EA1759E"/>
    <w:rsid w:val="3EB2122C"/>
    <w:rsid w:val="3EC425DB"/>
    <w:rsid w:val="3ECF2428"/>
    <w:rsid w:val="3ED03556"/>
    <w:rsid w:val="3EE0017F"/>
    <w:rsid w:val="3EE51A84"/>
    <w:rsid w:val="3EE62619"/>
    <w:rsid w:val="3EF10FFF"/>
    <w:rsid w:val="3F086AED"/>
    <w:rsid w:val="3F192BD3"/>
    <w:rsid w:val="3F1A6FBB"/>
    <w:rsid w:val="3F2112AF"/>
    <w:rsid w:val="3F2338CD"/>
    <w:rsid w:val="3F3753CD"/>
    <w:rsid w:val="3F43799D"/>
    <w:rsid w:val="3F4F01E8"/>
    <w:rsid w:val="3F547399"/>
    <w:rsid w:val="3F570624"/>
    <w:rsid w:val="3F67316A"/>
    <w:rsid w:val="3F6E03E2"/>
    <w:rsid w:val="3F950EE3"/>
    <w:rsid w:val="3F9515A0"/>
    <w:rsid w:val="3F9C1ABE"/>
    <w:rsid w:val="3FB710B2"/>
    <w:rsid w:val="3FBE44EC"/>
    <w:rsid w:val="3FBF7302"/>
    <w:rsid w:val="3FC17AF4"/>
    <w:rsid w:val="3FC21459"/>
    <w:rsid w:val="3FDC7AAE"/>
    <w:rsid w:val="3FDF6028"/>
    <w:rsid w:val="3FE7762B"/>
    <w:rsid w:val="3FF07ACC"/>
    <w:rsid w:val="40171D60"/>
    <w:rsid w:val="40371B61"/>
    <w:rsid w:val="403E22D4"/>
    <w:rsid w:val="404B5919"/>
    <w:rsid w:val="40556826"/>
    <w:rsid w:val="405A5F38"/>
    <w:rsid w:val="405F51A4"/>
    <w:rsid w:val="40641B21"/>
    <w:rsid w:val="40696E7C"/>
    <w:rsid w:val="40736212"/>
    <w:rsid w:val="408C614F"/>
    <w:rsid w:val="409419F6"/>
    <w:rsid w:val="40AA050F"/>
    <w:rsid w:val="40AF0B7C"/>
    <w:rsid w:val="40C552EB"/>
    <w:rsid w:val="40DB310D"/>
    <w:rsid w:val="40F50FB8"/>
    <w:rsid w:val="40F929EF"/>
    <w:rsid w:val="410314EE"/>
    <w:rsid w:val="410C06F9"/>
    <w:rsid w:val="411A4D86"/>
    <w:rsid w:val="411C3121"/>
    <w:rsid w:val="414919DC"/>
    <w:rsid w:val="416452BC"/>
    <w:rsid w:val="41746485"/>
    <w:rsid w:val="41936FE4"/>
    <w:rsid w:val="41AC0256"/>
    <w:rsid w:val="41BB4ED1"/>
    <w:rsid w:val="41BC21AF"/>
    <w:rsid w:val="41F920BA"/>
    <w:rsid w:val="42003FAD"/>
    <w:rsid w:val="420A56F7"/>
    <w:rsid w:val="421519AB"/>
    <w:rsid w:val="42356769"/>
    <w:rsid w:val="4245246F"/>
    <w:rsid w:val="425B3413"/>
    <w:rsid w:val="425B4BEA"/>
    <w:rsid w:val="42646360"/>
    <w:rsid w:val="42726CAB"/>
    <w:rsid w:val="42736AF6"/>
    <w:rsid w:val="42767055"/>
    <w:rsid w:val="427C0422"/>
    <w:rsid w:val="42882D79"/>
    <w:rsid w:val="42A03713"/>
    <w:rsid w:val="42B7571F"/>
    <w:rsid w:val="42C4002C"/>
    <w:rsid w:val="42C43A5C"/>
    <w:rsid w:val="42DB10C8"/>
    <w:rsid w:val="42DC6FA5"/>
    <w:rsid w:val="42E1179A"/>
    <w:rsid w:val="42E6613C"/>
    <w:rsid w:val="42E76C93"/>
    <w:rsid w:val="42F02CCB"/>
    <w:rsid w:val="43090019"/>
    <w:rsid w:val="43134422"/>
    <w:rsid w:val="43213016"/>
    <w:rsid w:val="43265AFD"/>
    <w:rsid w:val="432847A8"/>
    <w:rsid w:val="4331158F"/>
    <w:rsid w:val="433E78B5"/>
    <w:rsid w:val="435E504E"/>
    <w:rsid w:val="43776518"/>
    <w:rsid w:val="438002DC"/>
    <w:rsid w:val="438F2BEF"/>
    <w:rsid w:val="438F4367"/>
    <w:rsid w:val="43973E2D"/>
    <w:rsid w:val="439D64CD"/>
    <w:rsid w:val="43B35682"/>
    <w:rsid w:val="43D3490E"/>
    <w:rsid w:val="43DD07CD"/>
    <w:rsid w:val="43E314B4"/>
    <w:rsid w:val="43E617AB"/>
    <w:rsid w:val="43F51FB4"/>
    <w:rsid w:val="440C3231"/>
    <w:rsid w:val="440E09C8"/>
    <w:rsid w:val="442456E0"/>
    <w:rsid w:val="4448732A"/>
    <w:rsid w:val="444B464A"/>
    <w:rsid w:val="44536DCF"/>
    <w:rsid w:val="446773DF"/>
    <w:rsid w:val="44730C1B"/>
    <w:rsid w:val="44877485"/>
    <w:rsid w:val="44912299"/>
    <w:rsid w:val="44914345"/>
    <w:rsid w:val="44AE5111"/>
    <w:rsid w:val="44B27EBB"/>
    <w:rsid w:val="44B81E57"/>
    <w:rsid w:val="44CE658A"/>
    <w:rsid w:val="44DB0E5D"/>
    <w:rsid w:val="44F77432"/>
    <w:rsid w:val="44F94416"/>
    <w:rsid w:val="44FC24C0"/>
    <w:rsid w:val="44FC7395"/>
    <w:rsid w:val="450518FC"/>
    <w:rsid w:val="45184E44"/>
    <w:rsid w:val="4526103B"/>
    <w:rsid w:val="45275B6A"/>
    <w:rsid w:val="452B2C9D"/>
    <w:rsid w:val="45370DFD"/>
    <w:rsid w:val="45456D17"/>
    <w:rsid w:val="45621B6C"/>
    <w:rsid w:val="456271E0"/>
    <w:rsid w:val="4570388A"/>
    <w:rsid w:val="4578557C"/>
    <w:rsid w:val="458520DD"/>
    <w:rsid w:val="458F5F5B"/>
    <w:rsid w:val="45B53097"/>
    <w:rsid w:val="45BF0343"/>
    <w:rsid w:val="45E259E3"/>
    <w:rsid w:val="45EF0E56"/>
    <w:rsid w:val="45F85735"/>
    <w:rsid w:val="46082FBD"/>
    <w:rsid w:val="461128A6"/>
    <w:rsid w:val="4614667F"/>
    <w:rsid w:val="4617385A"/>
    <w:rsid w:val="461C436C"/>
    <w:rsid w:val="461D0D0E"/>
    <w:rsid w:val="46240DED"/>
    <w:rsid w:val="4638446E"/>
    <w:rsid w:val="464A6248"/>
    <w:rsid w:val="46601D13"/>
    <w:rsid w:val="466067A8"/>
    <w:rsid w:val="466E6A98"/>
    <w:rsid w:val="46716E8C"/>
    <w:rsid w:val="46A723BA"/>
    <w:rsid w:val="46BE345A"/>
    <w:rsid w:val="46CE16F5"/>
    <w:rsid w:val="46D064F2"/>
    <w:rsid w:val="46D25481"/>
    <w:rsid w:val="46D336EA"/>
    <w:rsid w:val="470C3AB1"/>
    <w:rsid w:val="470D313F"/>
    <w:rsid w:val="473542DB"/>
    <w:rsid w:val="473C056C"/>
    <w:rsid w:val="47465DE0"/>
    <w:rsid w:val="4753622D"/>
    <w:rsid w:val="47591CC9"/>
    <w:rsid w:val="47765A4B"/>
    <w:rsid w:val="47771EE7"/>
    <w:rsid w:val="477E07FF"/>
    <w:rsid w:val="47881551"/>
    <w:rsid w:val="478F3D7C"/>
    <w:rsid w:val="479317CA"/>
    <w:rsid w:val="47995915"/>
    <w:rsid w:val="479C0A51"/>
    <w:rsid w:val="479C2622"/>
    <w:rsid w:val="47A31AFF"/>
    <w:rsid w:val="47A557E4"/>
    <w:rsid w:val="47B65BD9"/>
    <w:rsid w:val="47C40F34"/>
    <w:rsid w:val="47C53360"/>
    <w:rsid w:val="47DD770D"/>
    <w:rsid w:val="47DE316C"/>
    <w:rsid w:val="47E524AE"/>
    <w:rsid w:val="47F04D8C"/>
    <w:rsid w:val="47F74C14"/>
    <w:rsid w:val="47FF4761"/>
    <w:rsid w:val="48077DC5"/>
    <w:rsid w:val="481A04D7"/>
    <w:rsid w:val="481D6473"/>
    <w:rsid w:val="4866413C"/>
    <w:rsid w:val="48730025"/>
    <w:rsid w:val="4873646B"/>
    <w:rsid w:val="4874043C"/>
    <w:rsid w:val="488079E2"/>
    <w:rsid w:val="488827A0"/>
    <w:rsid w:val="488E5B8B"/>
    <w:rsid w:val="48962514"/>
    <w:rsid w:val="48986E81"/>
    <w:rsid w:val="48997B66"/>
    <w:rsid w:val="489A43AA"/>
    <w:rsid w:val="48A22DFB"/>
    <w:rsid w:val="48C73B25"/>
    <w:rsid w:val="48CE013E"/>
    <w:rsid w:val="48D00E11"/>
    <w:rsid w:val="48D3375D"/>
    <w:rsid w:val="48E64A75"/>
    <w:rsid w:val="48FC6F54"/>
    <w:rsid w:val="490451D8"/>
    <w:rsid w:val="490A6620"/>
    <w:rsid w:val="491657EF"/>
    <w:rsid w:val="491C124F"/>
    <w:rsid w:val="49243920"/>
    <w:rsid w:val="49365867"/>
    <w:rsid w:val="493A73E9"/>
    <w:rsid w:val="494B6311"/>
    <w:rsid w:val="495041C6"/>
    <w:rsid w:val="49510905"/>
    <w:rsid w:val="49660062"/>
    <w:rsid w:val="49697823"/>
    <w:rsid w:val="496E1805"/>
    <w:rsid w:val="49703468"/>
    <w:rsid w:val="49830F09"/>
    <w:rsid w:val="498740B1"/>
    <w:rsid w:val="498B6794"/>
    <w:rsid w:val="498C281B"/>
    <w:rsid w:val="4996754A"/>
    <w:rsid w:val="49AF6923"/>
    <w:rsid w:val="49BA159D"/>
    <w:rsid w:val="49C13DA8"/>
    <w:rsid w:val="49C5390D"/>
    <w:rsid w:val="49D148BA"/>
    <w:rsid w:val="49D2327A"/>
    <w:rsid w:val="49D64A10"/>
    <w:rsid w:val="49D9269F"/>
    <w:rsid w:val="49DF7C88"/>
    <w:rsid w:val="49ED1368"/>
    <w:rsid w:val="49F83EEF"/>
    <w:rsid w:val="4A02507F"/>
    <w:rsid w:val="4A166429"/>
    <w:rsid w:val="4A1D695C"/>
    <w:rsid w:val="4A2711E6"/>
    <w:rsid w:val="4A293039"/>
    <w:rsid w:val="4A301693"/>
    <w:rsid w:val="4A370094"/>
    <w:rsid w:val="4A587BD5"/>
    <w:rsid w:val="4A697C26"/>
    <w:rsid w:val="4A714AA0"/>
    <w:rsid w:val="4A887647"/>
    <w:rsid w:val="4A891856"/>
    <w:rsid w:val="4A90598E"/>
    <w:rsid w:val="4A914EBF"/>
    <w:rsid w:val="4A9E6080"/>
    <w:rsid w:val="4AAF44EA"/>
    <w:rsid w:val="4AC74615"/>
    <w:rsid w:val="4ACA34B1"/>
    <w:rsid w:val="4ACC1F24"/>
    <w:rsid w:val="4AD03380"/>
    <w:rsid w:val="4ADF65F0"/>
    <w:rsid w:val="4AF224DA"/>
    <w:rsid w:val="4B0A4964"/>
    <w:rsid w:val="4B1C7602"/>
    <w:rsid w:val="4B242BAC"/>
    <w:rsid w:val="4B312C53"/>
    <w:rsid w:val="4B324000"/>
    <w:rsid w:val="4B380B74"/>
    <w:rsid w:val="4B3B19FA"/>
    <w:rsid w:val="4B51510E"/>
    <w:rsid w:val="4B5868EC"/>
    <w:rsid w:val="4B6701E1"/>
    <w:rsid w:val="4B6950A2"/>
    <w:rsid w:val="4B713514"/>
    <w:rsid w:val="4B744816"/>
    <w:rsid w:val="4B7571C8"/>
    <w:rsid w:val="4B9404AF"/>
    <w:rsid w:val="4B99644D"/>
    <w:rsid w:val="4BAA7084"/>
    <w:rsid w:val="4BB44127"/>
    <w:rsid w:val="4BBA32B7"/>
    <w:rsid w:val="4BC24C25"/>
    <w:rsid w:val="4BC50880"/>
    <w:rsid w:val="4BC67D5E"/>
    <w:rsid w:val="4BCE142E"/>
    <w:rsid w:val="4BEF3DA4"/>
    <w:rsid w:val="4BEF4FBC"/>
    <w:rsid w:val="4C0033E8"/>
    <w:rsid w:val="4C096621"/>
    <w:rsid w:val="4C0F2F69"/>
    <w:rsid w:val="4C101600"/>
    <w:rsid w:val="4C102FFF"/>
    <w:rsid w:val="4C165F35"/>
    <w:rsid w:val="4C1D76D7"/>
    <w:rsid w:val="4C1F4356"/>
    <w:rsid w:val="4C216952"/>
    <w:rsid w:val="4C2276B7"/>
    <w:rsid w:val="4C265F3D"/>
    <w:rsid w:val="4C2F03F9"/>
    <w:rsid w:val="4C3F3488"/>
    <w:rsid w:val="4C42298D"/>
    <w:rsid w:val="4C697932"/>
    <w:rsid w:val="4C7F4533"/>
    <w:rsid w:val="4C7F6E9F"/>
    <w:rsid w:val="4C936CC3"/>
    <w:rsid w:val="4CAE5EF4"/>
    <w:rsid w:val="4CB13785"/>
    <w:rsid w:val="4CB675B9"/>
    <w:rsid w:val="4CD9080E"/>
    <w:rsid w:val="4CDE080A"/>
    <w:rsid w:val="4D094928"/>
    <w:rsid w:val="4D0D7808"/>
    <w:rsid w:val="4D175F65"/>
    <w:rsid w:val="4D260E04"/>
    <w:rsid w:val="4D27603E"/>
    <w:rsid w:val="4D2B22AF"/>
    <w:rsid w:val="4D2D1CCD"/>
    <w:rsid w:val="4D33000E"/>
    <w:rsid w:val="4D567E52"/>
    <w:rsid w:val="4D5F6253"/>
    <w:rsid w:val="4D722E64"/>
    <w:rsid w:val="4D7609B2"/>
    <w:rsid w:val="4D8D7B78"/>
    <w:rsid w:val="4D987C01"/>
    <w:rsid w:val="4DAE3D3F"/>
    <w:rsid w:val="4DB85AE3"/>
    <w:rsid w:val="4DBC30BE"/>
    <w:rsid w:val="4DC42A1A"/>
    <w:rsid w:val="4DCB266D"/>
    <w:rsid w:val="4DCC4B18"/>
    <w:rsid w:val="4DD66A79"/>
    <w:rsid w:val="4DFB689D"/>
    <w:rsid w:val="4E013740"/>
    <w:rsid w:val="4E080480"/>
    <w:rsid w:val="4E124EC1"/>
    <w:rsid w:val="4E166C81"/>
    <w:rsid w:val="4E1C365D"/>
    <w:rsid w:val="4E281848"/>
    <w:rsid w:val="4E304CF1"/>
    <w:rsid w:val="4E3B2533"/>
    <w:rsid w:val="4E3F4C5B"/>
    <w:rsid w:val="4E57256E"/>
    <w:rsid w:val="4E58169B"/>
    <w:rsid w:val="4E5C5C8A"/>
    <w:rsid w:val="4E616BCD"/>
    <w:rsid w:val="4E8272C7"/>
    <w:rsid w:val="4E8665C3"/>
    <w:rsid w:val="4E8A6ECE"/>
    <w:rsid w:val="4E98491F"/>
    <w:rsid w:val="4EA57D2E"/>
    <w:rsid w:val="4EA85638"/>
    <w:rsid w:val="4EAA3AC2"/>
    <w:rsid w:val="4EAB646A"/>
    <w:rsid w:val="4EAF079F"/>
    <w:rsid w:val="4EBD69D3"/>
    <w:rsid w:val="4EE07260"/>
    <w:rsid w:val="4EE352A4"/>
    <w:rsid w:val="4EF12637"/>
    <w:rsid w:val="4F0666E4"/>
    <w:rsid w:val="4F163489"/>
    <w:rsid w:val="4F1C4967"/>
    <w:rsid w:val="4F1E5BA0"/>
    <w:rsid w:val="4F36109C"/>
    <w:rsid w:val="4F3D0ADE"/>
    <w:rsid w:val="4F4629DC"/>
    <w:rsid w:val="4F4744EE"/>
    <w:rsid w:val="4F4F467A"/>
    <w:rsid w:val="4F5D25D3"/>
    <w:rsid w:val="4F6A7F23"/>
    <w:rsid w:val="4FD572DE"/>
    <w:rsid w:val="4FE0378C"/>
    <w:rsid w:val="4FF10E93"/>
    <w:rsid w:val="4FF33CA2"/>
    <w:rsid w:val="50116912"/>
    <w:rsid w:val="501B1F0C"/>
    <w:rsid w:val="502E590E"/>
    <w:rsid w:val="505B47FB"/>
    <w:rsid w:val="505F0630"/>
    <w:rsid w:val="506129C1"/>
    <w:rsid w:val="506207C8"/>
    <w:rsid w:val="50690134"/>
    <w:rsid w:val="50747668"/>
    <w:rsid w:val="50751D7C"/>
    <w:rsid w:val="5076315C"/>
    <w:rsid w:val="50A21849"/>
    <w:rsid w:val="50AD6E9C"/>
    <w:rsid w:val="50BF5378"/>
    <w:rsid w:val="50DF0959"/>
    <w:rsid w:val="50ED57EC"/>
    <w:rsid w:val="50F4293C"/>
    <w:rsid w:val="510C5693"/>
    <w:rsid w:val="511A26D3"/>
    <w:rsid w:val="512B0F74"/>
    <w:rsid w:val="512D3D40"/>
    <w:rsid w:val="512E074D"/>
    <w:rsid w:val="513B45DE"/>
    <w:rsid w:val="51426270"/>
    <w:rsid w:val="514413DF"/>
    <w:rsid w:val="514D745C"/>
    <w:rsid w:val="51507A9B"/>
    <w:rsid w:val="51552771"/>
    <w:rsid w:val="515F1062"/>
    <w:rsid w:val="516410E7"/>
    <w:rsid w:val="5171521E"/>
    <w:rsid w:val="51825951"/>
    <w:rsid w:val="518347E5"/>
    <w:rsid w:val="51C82A2B"/>
    <w:rsid w:val="51D02628"/>
    <w:rsid w:val="51DB3288"/>
    <w:rsid w:val="51EE30BB"/>
    <w:rsid w:val="51EE79B7"/>
    <w:rsid w:val="52044036"/>
    <w:rsid w:val="5210078F"/>
    <w:rsid w:val="521F56D4"/>
    <w:rsid w:val="52230A21"/>
    <w:rsid w:val="522A6447"/>
    <w:rsid w:val="522A6FD0"/>
    <w:rsid w:val="522C7490"/>
    <w:rsid w:val="52377C4D"/>
    <w:rsid w:val="5252143D"/>
    <w:rsid w:val="525A2A7B"/>
    <w:rsid w:val="52600627"/>
    <w:rsid w:val="52641BC8"/>
    <w:rsid w:val="526E2EC0"/>
    <w:rsid w:val="52721A7F"/>
    <w:rsid w:val="52725427"/>
    <w:rsid w:val="527F23F8"/>
    <w:rsid w:val="52960579"/>
    <w:rsid w:val="52AA5FDA"/>
    <w:rsid w:val="52B01BE6"/>
    <w:rsid w:val="52BC0684"/>
    <w:rsid w:val="52CE14B4"/>
    <w:rsid w:val="52DC0FF8"/>
    <w:rsid w:val="52E07B38"/>
    <w:rsid w:val="52F36E8B"/>
    <w:rsid w:val="53050F6E"/>
    <w:rsid w:val="533862AE"/>
    <w:rsid w:val="53487344"/>
    <w:rsid w:val="53690C4A"/>
    <w:rsid w:val="536B7CA8"/>
    <w:rsid w:val="539A3E05"/>
    <w:rsid w:val="539C48D1"/>
    <w:rsid w:val="53B60334"/>
    <w:rsid w:val="53B8354E"/>
    <w:rsid w:val="53B923F3"/>
    <w:rsid w:val="53C7787C"/>
    <w:rsid w:val="53D038E5"/>
    <w:rsid w:val="53D252C9"/>
    <w:rsid w:val="53E57A5B"/>
    <w:rsid w:val="541849F2"/>
    <w:rsid w:val="542C02EB"/>
    <w:rsid w:val="54480F95"/>
    <w:rsid w:val="546423C1"/>
    <w:rsid w:val="5468393C"/>
    <w:rsid w:val="54706197"/>
    <w:rsid w:val="547E654F"/>
    <w:rsid w:val="54801B70"/>
    <w:rsid w:val="54875749"/>
    <w:rsid w:val="549A4AE0"/>
    <w:rsid w:val="54BF2325"/>
    <w:rsid w:val="54D21CB5"/>
    <w:rsid w:val="54D2384E"/>
    <w:rsid w:val="54D546B7"/>
    <w:rsid w:val="54D5571D"/>
    <w:rsid w:val="54DB6F21"/>
    <w:rsid w:val="54E537D3"/>
    <w:rsid w:val="54EC397A"/>
    <w:rsid w:val="54F44009"/>
    <w:rsid w:val="54F975CB"/>
    <w:rsid w:val="550A4D8A"/>
    <w:rsid w:val="550B4E39"/>
    <w:rsid w:val="551B736A"/>
    <w:rsid w:val="55360026"/>
    <w:rsid w:val="554E436D"/>
    <w:rsid w:val="555F5EDC"/>
    <w:rsid w:val="55646692"/>
    <w:rsid w:val="556C2583"/>
    <w:rsid w:val="55741FB1"/>
    <w:rsid w:val="55A266B1"/>
    <w:rsid w:val="55A87DE7"/>
    <w:rsid w:val="55B46272"/>
    <w:rsid w:val="55BC41A1"/>
    <w:rsid w:val="55D62F57"/>
    <w:rsid w:val="55E91D1A"/>
    <w:rsid w:val="5608408D"/>
    <w:rsid w:val="560F1A6D"/>
    <w:rsid w:val="561211D8"/>
    <w:rsid w:val="56172917"/>
    <w:rsid w:val="562338E3"/>
    <w:rsid w:val="562E4DEA"/>
    <w:rsid w:val="5640357A"/>
    <w:rsid w:val="56475F68"/>
    <w:rsid w:val="56486D1E"/>
    <w:rsid w:val="564C040D"/>
    <w:rsid w:val="56740111"/>
    <w:rsid w:val="568B18B0"/>
    <w:rsid w:val="568E2F74"/>
    <w:rsid w:val="56995020"/>
    <w:rsid w:val="56B02CE2"/>
    <w:rsid w:val="56B900F7"/>
    <w:rsid w:val="56D5549B"/>
    <w:rsid w:val="56ED473A"/>
    <w:rsid w:val="57003ED6"/>
    <w:rsid w:val="57014DA0"/>
    <w:rsid w:val="57035CA4"/>
    <w:rsid w:val="57116B10"/>
    <w:rsid w:val="571923A8"/>
    <w:rsid w:val="5739724F"/>
    <w:rsid w:val="573A3372"/>
    <w:rsid w:val="573F7CB7"/>
    <w:rsid w:val="574E0A25"/>
    <w:rsid w:val="57595D50"/>
    <w:rsid w:val="575C3B17"/>
    <w:rsid w:val="575E59F1"/>
    <w:rsid w:val="57676239"/>
    <w:rsid w:val="576B3AEB"/>
    <w:rsid w:val="57727899"/>
    <w:rsid w:val="57C85383"/>
    <w:rsid w:val="57DD13D4"/>
    <w:rsid w:val="57F722BD"/>
    <w:rsid w:val="580E5F45"/>
    <w:rsid w:val="58155ECB"/>
    <w:rsid w:val="582B40FF"/>
    <w:rsid w:val="582F36E8"/>
    <w:rsid w:val="58352EE1"/>
    <w:rsid w:val="58543A19"/>
    <w:rsid w:val="585B059D"/>
    <w:rsid w:val="5869444D"/>
    <w:rsid w:val="58901329"/>
    <w:rsid w:val="589B2C82"/>
    <w:rsid w:val="58A7253A"/>
    <w:rsid w:val="58AE1711"/>
    <w:rsid w:val="58B01D21"/>
    <w:rsid w:val="58B571F4"/>
    <w:rsid w:val="58BF0C28"/>
    <w:rsid w:val="58D2288E"/>
    <w:rsid w:val="58DF3B69"/>
    <w:rsid w:val="58E33547"/>
    <w:rsid w:val="58EF5F64"/>
    <w:rsid w:val="58F97102"/>
    <w:rsid w:val="591A7C59"/>
    <w:rsid w:val="592B3B77"/>
    <w:rsid w:val="5930240B"/>
    <w:rsid w:val="594008A2"/>
    <w:rsid w:val="594E5245"/>
    <w:rsid w:val="5953287B"/>
    <w:rsid w:val="595A3209"/>
    <w:rsid w:val="595E1A5C"/>
    <w:rsid w:val="59684928"/>
    <w:rsid w:val="597D24C4"/>
    <w:rsid w:val="598B6E58"/>
    <w:rsid w:val="598F0A8A"/>
    <w:rsid w:val="599A72A4"/>
    <w:rsid w:val="599B12DB"/>
    <w:rsid w:val="59A86C26"/>
    <w:rsid w:val="59A95685"/>
    <w:rsid w:val="59B57D73"/>
    <w:rsid w:val="59C8015E"/>
    <w:rsid w:val="59C815A4"/>
    <w:rsid w:val="59C9048C"/>
    <w:rsid w:val="59CF32E2"/>
    <w:rsid w:val="59D80DA7"/>
    <w:rsid w:val="59EB73BF"/>
    <w:rsid w:val="59F3683D"/>
    <w:rsid w:val="5A077AAC"/>
    <w:rsid w:val="5A097F90"/>
    <w:rsid w:val="5A1833CC"/>
    <w:rsid w:val="5A203295"/>
    <w:rsid w:val="5A2C1B78"/>
    <w:rsid w:val="5A3042AD"/>
    <w:rsid w:val="5A324AA1"/>
    <w:rsid w:val="5A4D4E18"/>
    <w:rsid w:val="5A72705F"/>
    <w:rsid w:val="5A771446"/>
    <w:rsid w:val="5A8C7330"/>
    <w:rsid w:val="5A9371D3"/>
    <w:rsid w:val="5ABE4A62"/>
    <w:rsid w:val="5AC709EC"/>
    <w:rsid w:val="5AE310A0"/>
    <w:rsid w:val="5AE56720"/>
    <w:rsid w:val="5B063D02"/>
    <w:rsid w:val="5B0A277E"/>
    <w:rsid w:val="5B0A51E5"/>
    <w:rsid w:val="5B147602"/>
    <w:rsid w:val="5B361733"/>
    <w:rsid w:val="5B3927C7"/>
    <w:rsid w:val="5B3C3DED"/>
    <w:rsid w:val="5B573FA9"/>
    <w:rsid w:val="5B703749"/>
    <w:rsid w:val="5B824403"/>
    <w:rsid w:val="5B853CFD"/>
    <w:rsid w:val="5B96266A"/>
    <w:rsid w:val="5B9D510E"/>
    <w:rsid w:val="5B9E11CA"/>
    <w:rsid w:val="5BA30790"/>
    <w:rsid w:val="5BE01B6A"/>
    <w:rsid w:val="5BF03D78"/>
    <w:rsid w:val="5BF076E0"/>
    <w:rsid w:val="5C0778DC"/>
    <w:rsid w:val="5C1361D8"/>
    <w:rsid w:val="5C246BF1"/>
    <w:rsid w:val="5C3654A5"/>
    <w:rsid w:val="5C7A0F15"/>
    <w:rsid w:val="5C7D7713"/>
    <w:rsid w:val="5C83048D"/>
    <w:rsid w:val="5CAD0B3D"/>
    <w:rsid w:val="5CB94C5C"/>
    <w:rsid w:val="5CE22A29"/>
    <w:rsid w:val="5CEB47BC"/>
    <w:rsid w:val="5CEB4F0C"/>
    <w:rsid w:val="5CEF1ECD"/>
    <w:rsid w:val="5CF0065F"/>
    <w:rsid w:val="5CF3539D"/>
    <w:rsid w:val="5CF444A9"/>
    <w:rsid w:val="5D0837F6"/>
    <w:rsid w:val="5D0A0065"/>
    <w:rsid w:val="5D0D3DAB"/>
    <w:rsid w:val="5D120919"/>
    <w:rsid w:val="5D181F92"/>
    <w:rsid w:val="5D1C1BA2"/>
    <w:rsid w:val="5D2B0818"/>
    <w:rsid w:val="5D326988"/>
    <w:rsid w:val="5D374DA4"/>
    <w:rsid w:val="5D3B689D"/>
    <w:rsid w:val="5D4521FA"/>
    <w:rsid w:val="5D504284"/>
    <w:rsid w:val="5D57031C"/>
    <w:rsid w:val="5D605F41"/>
    <w:rsid w:val="5D68001F"/>
    <w:rsid w:val="5D7F451E"/>
    <w:rsid w:val="5DA618E4"/>
    <w:rsid w:val="5DAD6614"/>
    <w:rsid w:val="5DB72ABD"/>
    <w:rsid w:val="5DCB71D7"/>
    <w:rsid w:val="5DD40CC5"/>
    <w:rsid w:val="5DD460AB"/>
    <w:rsid w:val="5DD54D8A"/>
    <w:rsid w:val="5DDA05BD"/>
    <w:rsid w:val="5DE14CD9"/>
    <w:rsid w:val="5DE54DBA"/>
    <w:rsid w:val="5DF02F69"/>
    <w:rsid w:val="5DFB7F13"/>
    <w:rsid w:val="5E0C3339"/>
    <w:rsid w:val="5E3E3CE1"/>
    <w:rsid w:val="5E5645E6"/>
    <w:rsid w:val="5E6A46A1"/>
    <w:rsid w:val="5E6E6403"/>
    <w:rsid w:val="5E720290"/>
    <w:rsid w:val="5E827D77"/>
    <w:rsid w:val="5E8F3755"/>
    <w:rsid w:val="5E9E787B"/>
    <w:rsid w:val="5EA87CFA"/>
    <w:rsid w:val="5EBC3315"/>
    <w:rsid w:val="5EC66F87"/>
    <w:rsid w:val="5ED56FAD"/>
    <w:rsid w:val="5EDA185C"/>
    <w:rsid w:val="5EE03DD1"/>
    <w:rsid w:val="5EE73BD3"/>
    <w:rsid w:val="5EF84C37"/>
    <w:rsid w:val="5F0065CD"/>
    <w:rsid w:val="5F031B03"/>
    <w:rsid w:val="5F3153C3"/>
    <w:rsid w:val="5F4B71DB"/>
    <w:rsid w:val="5F5F53DE"/>
    <w:rsid w:val="5F605532"/>
    <w:rsid w:val="5F6501B3"/>
    <w:rsid w:val="5F6824B3"/>
    <w:rsid w:val="5F703172"/>
    <w:rsid w:val="5F741B96"/>
    <w:rsid w:val="5F772E7E"/>
    <w:rsid w:val="5F856A0E"/>
    <w:rsid w:val="5F865046"/>
    <w:rsid w:val="5F96484A"/>
    <w:rsid w:val="5FA74DB8"/>
    <w:rsid w:val="5FA9051D"/>
    <w:rsid w:val="5FAA22FE"/>
    <w:rsid w:val="5FAB2708"/>
    <w:rsid w:val="5FB7380A"/>
    <w:rsid w:val="5FD62898"/>
    <w:rsid w:val="5FD720A1"/>
    <w:rsid w:val="5FDA2EF8"/>
    <w:rsid w:val="5FDB357B"/>
    <w:rsid w:val="5FDB5717"/>
    <w:rsid w:val="5FDF21D9"/>
    <w:rsid w:val="5FE56EFE"/>
    <w:rsid w:val="5FE802A7"/>
    <w:rsid w:val="5FEF239F"/>
    <w:rsid w:val="5FFF114C"/>
    <w:rsid w:val="60077857"/>
    <w:rsid w:val="60167445"/>
    <w:rsid w:val="602452C6"/>
    <w:rsid w:val="60332110"/>
    <w:rsid w:val="60346651"/>
    <w:rsid w:val="603E3E82"/>
    <w:rsid w:val="60422B67"/>
    <w:rsid w:val="60480497"/>
    <w:rsid w:val="60561E56"/>
    <w:rsid w:val="605F6C5B"/>
    <w:rsid w:val="606943F3"/>
    <w:rsid w:val="60966351"/>
    <w:rsid w:val="60A349C3"/>
    <w:rsid w:val="60C1298A"/>
    <w:rsid w:val="60D56642"/>
    <w:rsid w:val="60E749E9"/>
    <w:rsid w:val="60EC1987"/>
    <w:rsid w:val="60F41F29"/>
    <w:rsid w:val="60F529AF"/>
    <w:rsid w:val="6100075A"/>
    <w:rsid w:val="61003C94"/>
    <w:rsid w:val="61004AC1"/>
    <w:rsid w:val="610148C3"/>
    <w:rsid w:val="61166079"/>
    <w:rsid w:val="611B5289"/>
    <w:rsid w:val="61230B54"/>
    <w:rsid w:val="61381916"/>
    <w:rsid w:val="61602A16"/>
    <w:rsid w:val="61627AF3"/>
    <w:rsid w:val="616D4F1F"/>
    <w:rsid w:val="61773812"/>
    <w:rsid w:val="61A15EF8"/>
    <w:rsid w:val="61A30F57"/>
    <w:rsid w:val="61B009FF"/>
    <w:rsid w:val="61B5318C"/>
    <w:rsid w:val="61BD6F6F"/>
    <w:rsid w:val="61CC3559"/>
    <w:rsid w:val="61D91AB5"/>
    <w:rsid w:val="61E33FE6"/>
    <w:rsid w:val="61F263A7"/>
    <w:rsid w:val="61FA408B"/>
    <w:rsid w:val="62231DC3"/>
    <w:rsid w:val="6241369F"/>
    <w:rsid w:val="624E0256"/>
    <w:rsid w:val="626008DC"/>
    <w:rsid w:val="62610E33"/>
    <w:rsid w:val="62757CEA"/>
    <w:rsid w:val="6277253C"/>
    <w:rsid w:val="627F33C9"/>
    <w:rsid w:val="62991738"/>
    <w:rsid w:val="62A92EC1"/>
    <w:rsid w:val="62BF6A45"/>
    <w:rsid w:val="62DD677E"/>
    <w:rsid w:val="62E910C9"/>
    <w:rsid w:val="62E92365"/>
    <w:rsid w:val="62FE03FB"/>
    <w:rsid w:val="62FE4B67"/>
    <w:rsid w:val="63106F05"/>
    <w:rsid w:val="63166957"/>
    <w:rsid w:val="632A28D6"/>
    <w:rsid w:val="63406DBF"/>
    <w:rsid w:val="63576F97"/>
    <w:rsid w:val="63596F0E"/>
    <w:rsid w:val="635C36D2"/>
    <w:rsid w:val="63611D49"/>
    <w:rsid w:val="636A68D4"/>
    <w:rsid w:val="63791893"/>
    <w:rsid w:val="638173A1"/>
    <w:rsid w:val="638C1B3E"/>
    <w:rsid w:val="63B05014"/>
    <w:rsid w:val="63BB05C8"/>
    <w:rsid w:val="63CD73C3"/>
    <w:rsid w:val="63DD0189"/>
    <w:rsid w:val="63E63DB4"/>
    <w:rsid w:val="63EB1D97"/>
    <w:rsid w:val="63ED4ECB"/>
    <w:rsid w:val="63EF7FF2"/>
    <w:rsid w:val="63F65585"/>
    <w:rsid w:val="640E7EA4"/>
    <w:rsid w:val="64113D1F"/>
    <w:rsid w:val="64193C1F"/>
    <w:rsid w:val="64255F95"/>
    <w:rsid w:val="642A760B"/>
    <w:rsid w:val="642E3B81"/>
    <w:rsid w:val="64315A84"/>
    <w:rsid w:val="643E407F"/>
    <w:rsid w:val="6455485C"/>
    <w:rsid w:val="64564B52"/>
    <w:rsid w:val="646A6D5B"/>
    <w:rsid w:val="64714277"/>
    <w:rsid w:val="647D73AD"/>
    <w:rsid w:val="64850E92"/>
    <w:rsid w:val="648C67A8"/>
    <w:rsid w:val="6492159C"/>
    <w:rsid w:val="649B721A"/>
    <w:rsid w:val="64AC7FF7"/>
    <w:rsid w:val="64AF2977"/>
    <w:rsid w:val="64BC0A17"/>
    <w:rsid w:val="64C43121"/>
    <w:rsid w:val="64C736EC"/>
    <w:rsid w:val="64D9118A"/>
    <w:rsid w:val="64FA216E"/>
    <w:rsid w:val="65002793"/>
    <w:rsid w:val="65074896"/>
    <w:rsid w:val="650F68C1"/>
    <w:rsid w:val="65207B65"/>
    <w:rsid w:val="65247EE4"/>
    <w:rsid w:val="65285235"/>
    <w:rsid w:val="653A50D2"/>
    <w:rsid w:val="653B2499"/>
    <w:rsid w:val="653D1CDB"/>
    <w:rsid w:val="653F1088"/>
    <w:rsid w:val="6546472D"/>
    <w:rsid w:val="65477341"/>
    <w:rsid w:val="654A2AE6"/>
    <w:rsid w:val="65511F5D"/>
    <w:rsid w:val="655A037E"/>
    <w:rsid w:val="655C4113"/>
    <w:rsid w:val="657100BD"/>
    <w:rsid w:val="65722B89"/>
    <w:rsid w:val="65745872"/>
    <w:rsid w:val="65795256"/>
    <w:rsid w:val="6581356B"/>
    <w:rsid w:val="65A0532A"/>
    <w:rsid w:val="65A54CA7"/>
    <w:rsid w:val="65B3077F"/>
    <w:rsid w:val="65CA031F"/>
    <w:rsid w:val="65CD69DE"/>
    <w:rsid w:val="65D17724"/>
    <w:rsid w:val="65EF6D16"/>
    <w:rsid w:val="66092EEE"/>
    <w:rsid w:val="66093F60"/>
    <w:rsid w:val="662108DC"/>
    <w:rsid w:val="66273407"/>
    <w:rsid w:val="662D60A5"/>
    <w:rsid w:val="66307D0B"/>
    <w:rsid w:val="663614FF"/>
    <w:rsid w:val="6646330C"/>
    <w:rsid w:val="664C40D2"/>
    <w:rsid w:val="664E14BC"/>
    <w:rsid w:val="667604A8"/>
    <w:rsid w:val="6679439B"/>
    <w:rsid w:val="667D0FD2"/>
    <w:rsid w:val="667F4E1B"/>
    <w:rsid w:val="668C7951"/>
    <w:rsid w:val="668F0B80"/>
    <w:rsid w:val="66A8023B"/>
    <w:rsid w:val="66A94C62"/>
    <w:rsid w:val="66AD43DE"/>
    <w:rsid w:val="66AF7AF0"/>
    <w:rsid w:val="66B72185"/>
    <w:rsid w:val="66DA235E"/>
    <w:rsid w:val="66DC3FE8"/>
    <w:rsid w:val="66EA3ED2"/>
    <w:rsid w:val="670673F2"/>
    <w:rsid w:val="670A188E"/>
    <w:rsid w:val="67302D65"/>
    <w:rsid w:val="673F4AF1"/>
    <w:rsid w:val="67505D78"/>
    <w:rsid w:val="678B4EE5"/>
    <w:rsid w:val="679D4920"/>
    <w:rsid w:val="679F062A"/>
    <w:rsid w:val="67A04EE8"/>
    <w:rsid w:val="67A33C9C"/>
    <w:rsid w:val="67A677C2"/>
    <w:rsid w:val="67AA78F6"/>
    <w:rsid w:val="67C6092D"/>
    <w:rsid w:val="67D24CC3"/>
    <w:rsid w:val="67DA0093"/>
    <w:rsid w:val="67DC74D0"/>
    <w:rsid w:val="67EF6A21"/>
    <w:rsid w:val="67F071BE"/>
    <w:rsid w:val="67F42C42"/>
    <w:rsid w:val="680608B9"/>
    <w:rsid w:val="68217B54"/>
    <w:rsid w:val="682C6D7F"/>
    <w:rsid w:val="682D18C2"/>
    <w:rsid w:val="68317400"/>
    <w:rsid w:val="684862DB"/>
    <w:rsid w:val="684B7037"/>
    <w:rsid w:val="686059CF"/>
    <w:rsid w:val="686357ED"/>
    <w:rsid w:val="686D2F6B"/>
    <w:rsid w:val="686E4D76"/>
    <w:rsid w:val="68824E3E"/>
    <w:rsid w:val="68964AD5"/>
    <w:rsid w:val="6896506E"/>
    <w:rsid w:val="689D0B30"/>
    <w:rsid w:val="68A11DF7"/>
    <w:rsid w:val="68AC563B"/>
    <w:rsid w:val="68B4248C"/>
    <w:rsid w:val="68BB20DC"/>
    <w:rsid w:val="68C22A3E"/>
    <w:rsid w:val="68DB42D9"/>
    <w:rsid w:val="68EC59B8"/>
    <w:rsid w:val="68F177C4"/>
    <w:rsid w:val="68F776A0"/>
    <w:rsid w:val="691E0F69"/>
    <w:rsid w:val="692606C1"/>
    <w:rsid w:val="692673AD"/>
    <w:rsid w:val="692D4DA9"/>
    <w:rsid w:val="6935138A"/>
    <w:rsid w:val="69434E1D"/>
    <w:rsid w:val="69452E58"/>
    <w:rsid w:val="694D54CE"/>
    <w:rsid w:val="6953519E"/>
    <w:rsid w:val="6974210A"/>
    <w:rsid w:val="69746499"/>
    <w:rsid w:val="697A7246"/>
    <w:rsid w:val="697C0C19"/>
    <w:rsid w:val="6983593C"/>
    <w:rsid w:val="6999770F"/>
    <w:rsid w:val="69B414D6"/>
    <w:rsid w:val="69BB3ECE"/>
    <w:rsid w:val="69D012B6"/>
    <w:rsid w:val="69E86311"/>
    <w:rsid w:val="69F83836"/>
    <w:rsid w:val="69F867EC"/>
    <w:rsid w:val="69FB28BA"/>
    <w:rsid w:val="6A1B0349"/>
    <w:rsid w:val="6A284A2F"/>
    <w:rsid w:val="6A2B4A46"/>
    <w:rsid w:val="6A4E432F"/>
    <w:rsid w:val="6A65085B"/>
    <w:rsid w:val="6A6D6DA2"/>
    <w:rsid w:val="6A86464B"/>
    <w:rsid w:val="6A955391"/>
    <w:rsid w:val="6AA34578"/>
    <w:rsid w:val="6ABF1161"/>
    <w:rsid w:val="6AC47D87"/>
    <w:rsid w:val="6AD452CD"/>
    <w:rsid w:val="6AD61F16"/>
    <w:rsid w:val="6AE54EF4"/>
    <w:rsid w:val="6AF0706A"/>
    <w:rsid w:val="6AF44AA1"/>
    <w:rsid w:val="6B074F42"/>
    <w:rsid w:val="6B097120"/>
    <w:rsid w:val="6B1154F1"/>
    <w:rsid w:val="6B14049D"/>
    <w:rsid w:val="6B2103C5"/>
    <w:rsid w:val="6B2445EE"/>
    <w:rsid w:val="6B261283"/>
    <w:rsid w:val="6B276F17"/>
    <w:rsid w:val="6B402FB9"/>
    <w:rsid w:val="6B4573B1"/>
    <w:rsid w:val="6B513788"/>
    <w:rsid w:val="6B670783"/>
    <w:rsid w:val="6B6C23B6"/>
    <w:rsid w:val="6B6E06A0"/>
    <w:rsid w:val="6B957B42"/>
    <w:rsid w:val="6B9B2D32"/>
    <w:rsid w:val="6BA642C6"/>
    <w:rsid w:val="6BAE5282"/>
    <w:rsid w:val="6BBB2E67"/>
    <w:rsid w:val="6BDD211C"/>
    <w:rsid w:val="6BDF543E"/>
    <w:rsid w:val="6BEB5667"/>
    <w:rsid w:val="6BF114B6"/>
    <w:rsid w:val="6C004CF3"/>
    <w:rsid w:val="6C0C2905"/>
    <w:rsid w:val="6C145FEE"/>
    <w:rsid w:val="6C1D2737"/>
    <w:rsid w:val="6C1E2A93"/>
    <w:rsid w:val="6C21150D"/>
    <w:rsid w:val="6C3C7298"/>
    <w:rsid w:val="6C3E3E77"/>
    <w:rsid w:val="6C4F7ACD"/>
    <w:rsid w:val="6C5E0FA2"/>
    <w:rsid w:val="6C62211B"/>
    <w:rsid w:val="6C800E84"/>
    <w:rsid w:val="6C8452EA"/>
    <w:rsid w:val="6CA40FA7"/>
    <w:rsid w:val="6CAA0223"/>
    <w:rsid w:val="6CB06A94"/>
    <w:rsid w:val="6CD11FFF"/>
    <w:rsid w:val="6CE80453"/>
    <w:rsid w:val="6CE90E9D"/>
    <w:rsid w:val="6CEF2DE3"/>
    <w:rsid w:val="6CF27C3D"/>
    <w:rsid w:val="6CFE0347"/>
    <w:rsid w:val="6CFE2E2A"/>
    <w:rsid w:val="6D1905CB"/>
    <w:rsid w:val="6D31158A"/>
    <w:rsid w:val="6D420874"/>
    <w:rsid w:val="6D445810"/>
    <w:rsid w:val="6D4E7D32"/>
    <w:rsid w:val="6D626660"/>
    <w:rsid w:val="6D704505"/>
    <w:rsid w:val="6D7B0B55"/>
    <w:rsid w:val="6D7E58D4"/>
    <w:rsid w:val="6D820939"/>
    <w:rsid w:val="6D94488D"/>
    <w:rsid w:val="6D976386"/>
    <w:rsid w:val="6DA7338B"/>
    <w:rsid w:val="6DB01604"/>
    <w:rsid w:val="6DDB41ED"/>
    <w:rsid w:val="6DDF4119"/>
    <w:rsid w:val="6DE51A30"/>
    <w:rsid w:val="6DF15C7F"/>
    <w:rsid w:val="6DF952FA"/>
    <w:rsid w:val="6E025B4D"/>
    <w:rsid w:val="6E0617D0"/>
    <w:rsid w:val="6E0C24F9"/>
    <w:rsid w:val="6E0D0ED0"/>
    <w:rsid w:val="6E117CCF"/>
    <w:rsid w:val="6E2222A9"/>
    <w:rsid w:val="6E2A41D4"/>
    <w:rsid w:val="6E3A08A1"/>
    <w:rsid w:val="6E4969A0"/>
    <w:rsid w:val="6E4D7721"/>
    <w:rsid w:val="6E626CA6"/>
    <w:rsid w:val="6E630768"/>
    <w:rsid w:val="6E632FA9"/>
    <w:rsid w:val="6E763B3D"/>
    <w:rsid w:val="6E7F52BA"/>
    <w:rsid w:val="6E971D55"/>
    <w:rsid w:val="6EAA76C2"/>
    <w:rsid w:val="6EBA1011"/>
    <w:rsid w:val="6EC44F41"/>
    <w:rsid w:val="6EC97815"/>
    <w:rsid w:val="6ECC6B51"/>
    <w:rsid w:val="6ED36821"/>
    <w:rsid w:val="6EE02B24"/>
    <w:rsid w:val="6EEA1426"/>
    <w:rsid w:val="6EEE149D"/>
    <w:rsid w:val="6EF43ECA"/>
    <w:rsid w:val="6F0B6CBF"/>
    <w:rsid w:val="6F181614"/>
    <w:rsid w:val="6F1C418A"/>
    <w:rsid w:val="6F25359F"/>
    <w:rsid w:val="6F313568"/>
    <w:rsid w:val="6F353C70"/>
    <w:rsid w:val="6F376F28"/>
    <w:rsid w:val="6F386D9E"/>
    <w:rsid w:val="6F6369AC"/>
    <w:rsid w:val="6F6674DF"/>
    <w:rsid w:val="6F771861"/>
    <w:rsid w:val="6F7A60C3"/>
    <w:rsid w:val="6F8B68C6"/>
    <w:rsid w:val="6F8E2DB4"/>
    <w:rsid w:val="6F8E65ED"/>
    <w:rsid w:val="6F960069"/>
    <w:rsid w:val="6F9C4798"/>
    <w:rsid w:val="6F9F511B"/>
    <w:rsid w:val="6FA12AF8"/>
    <w:rsid w:val="6FA83234"/>
    <w:rsid w:val="6FA95F80"/>
    <w:rsid w:val="6FA96D9C"/>
    <w:rsid w:val="6FB270A3"/>
    <w:rsid w:val="6FB973FE"/>
    <w:rsid w:val="6FC72B12"/>
    <w:rsid w:val="6FC76B28"/>
    <w:rsid w:val="6FCD47A0"/>
    <w:rsid w:val="6FD23EDF"/>
    <w:rsid w:val="6FEB04D6"/>
    <w:rsid w:val="6FF21802"/>
    <w:rsid w:val="6FF53583"/>
    <w:rsid w:val="6FFB14AC"/>
    <w:rsid w:val="702A29B9"/>
    <w:rsid w:val="70332F54"/>
    <w:rsid w:val="70397E9F"/>
    <w:rsid w:val="703B3511"/>
    <w:rsid w:val="703E49C6"/>
    <w:rsid w:val="70491F62"/>
    <w:rsid w:val="704C6416"/>
    <w:rsid w:val="705C6042"/>
    <w:rsid w:val="705D2245"/>
    <w:rsid w:val="705F04B6"/>
    <w:rsid w:val="706A4F6C"/>
    <w:rsid w:val="7072656B"/>
    <w:rsid w:val="707E5D11"/>
    <w:rsid w:val="7092003E"/>
    <w:rsid w:val="709456E4"/>
    <w:rsid w:val="70AE3ADE"/>
    <w:rsid w:val="70B1073C"/>
    <w:rsid w:val="70C07483"/>
    <w:rsid w:val="70C84F3C"/>
    <w:rsid w:val="70CB34C7"/>
    <w:rsid w:val="70D06BD2"/>
    <w:rsid w:val="70FD00F9"/>
    <w:rsid w:val="70FD6F97"/>
    <w:rsid w:val="70FE0E38"/>
    <w:rsid w:val="71042D83"/>
    <w:rsid w:val="71163915"/>
    <w:rsid w:val="713F5D22"/>
    <w:rsid w:val="71594726"/>
    <w:rsid w:val="715B6EAC"/>
    <w:rsid w:val="71631C62"/>
    <w:rsid w:val="716350BD"/>
    <w:rsid w:val="716F07FF"/>
    <w:rsid w:val="716F5E93"/>
    <w:rsid w:val="718F08AC"/>
    <w:rsid w:val="7190018A"/>
    <w:rsid w:val="719A3D2D"/>
    <w:rsid w:val="71A262B3"/>
    <w:rsid w:val="71AA682C"/>
    <w:rsid w:val="71B24035"/>
    <w:rsid w:val="71B96C56"/>
    <w:rsid w:val="71C147AF"/>
    <w:rsid w:val="71CA27F3"/>
    <w:rsid w:val="71CA3492"/>
    <w:rsid w:val="71DD7DC8"/>
    <w:rsid w:val="71E92ED9"/>
    <w:rsid w:val="71F04D27"/>
    <w:rsid w:val="71F67030"/>
    <w:rsid w:val="720E4941"/>
    <w:rsid w:val="720F3259"/>
    <w:rsid w:val="721C79CE"/>
    <w:rsid w:val="722641B1"/>
    <w:rsid w:val="72287063"/>
    <w:rsid w:val="723A11D0"/>
    <w:rsid w:val="723F3806"/>
    <w:rsid w:val="72410E3C"/>
    <w:rsid w:val="7243737E"/>
    <w:rsid w:val="724E3BCD"/>
    <w:rsid w:val="72565F97"/>
    <w:rsid w:val="728B2661"/>
    <w:rsid w:val="728E3365"/>
    <w:rsid w:val="72A07358"/>
    <w:rsid w:val="72AA4ED2"/>
    <w:rsid w:val="72AF1102"/>
    <w:rsid w:val="72BE782C"/>
    <w:rsid w:val="72C82FF2"/>
    <w:rsid w:val="72CB5349"/>
    <w:rsid w:val="72D46324"/>
    <w:rsid w:val="72E30927"/>
    <w:rsid w:val="72E34649"/>
    <w:rsid w:val="72E537B2"/>
    <w:rsid w:val="72EA5D1A"/>
    <w:rsid w:val="72F375FE"/>
    <w:rsid w:val="72F453A8"/>
    <w:rsid w:val="72F7082D"/>
    <w:rsid w:val="72F97CC5"/>
    <w:rsid w:val="7301741E"/>
    <w:rsid w:val="73066E81"/>
    <w:rsid w:val="73080FCF"/>
    <w:rsid w:val="730E79A2"/>
    <w:rsid w:val="731332C0"/>
    <w:rsid w:val="731A3E02"/>
    <w:rsid w:val="731E0ED7"/>
    <w:rsid w:val="73362E98"/>
    <w:rsid w:val="734D52BA"/>
    <w:rsid w:val="73543EF1"/>
    <w:rsid w:val="7358266D"/>
    <w:rsid w:val="736353D4"/>
    <w:rsid w:val="73641CD0"/>
    <w:rsid w:val="7372264A"/>
    <w:rsid w:val="737634C5"/>
    <w:rsid w:val="7379194C"/>
    <w:rsid w:val="737A26E9"/>
    <w:rsid w:val="739C6CE4"/>
    <w:rsid w:val="73AF1EA3"/>
    <w:rsid w:val="73AF6842"/>
    <w:rsid w:val="73BD1086"/>
    <w:rsid w:val="73C2527E"/>
    <w:rsid w:val="73C275E5"/>
    <w:rsid w:val="73D063C2"/>
    <w:rsid w:val="73D7278D"/>
    <w:rsid w:val="73DF7E80"/>
    <w:rsid w:val="73E65C20"/>
    <w:rsid w:val="73E830E0"/>
    <w:rsid w:val="740C7AF0"/>
    <w:rsid w:val="74170D3D"/>
    <w:rsid w:val="741B51FF"/>
    <w:rsid w:val="743A778A"/>
    <w:rsid w:val="743C2554"/>
    <w:rsid w:val="744E0B15"/>
    <w:rsid w:val="745463B9"/>
    <w:rsid w:val="745B5BCB"/>
    <w:rsid w:val="745E2470"/>
    <w:rsid w:val="74622A7A"/>
    <w:rsid w:val="7466235D"/>
    <w:rsid w:val="748A1E76"/>
    <w:rsid w:val="748F3824"/>
    <w:rsid w:val="7499418E"/>
    <w:rsid w:val="74A13BBA"/>
    <w:rsid w:val="74AA1246"/>
    <w:rsid w:val="74AF160B"/>
    <w:rsid w:val="74B14936"/>
    <w:rsid w:val="74C34B44"/>
    <w:rsid w:val="74C42D23"/>
    <w:rsid w:val="74C8757C"/>
    <w:rsid w:val="74CA751F"/>
    <w:rsid w:val="74D07AAF"/>
    <w:rsid w:val="74D264C9"/>
    <w:rsid w:val="74E67801"/>
    <w:rsid w:val="75074E19"/>
    <w:rsid w:val="750E5AF4"/>
    <w:rsid w:val="750F361D"/>
    <w:rsid w:val="75116060"/>
    <w:rsid w:val="751F4BBB"/>
    <w:rsid w:val="752528E8"/>
    <w:rsid w:val="753349F1"/>
    <w:rsid w:val="75375142"/>
    <w:rsid w:val="753B1430"/>
    <w:rsid w:val="755876EE"/>
    <w:rsid w:val="755C716C"/>
    <w:rsid w:val="756A6809"/>
    <w:rsid w:val="756C0A7F"/>
    <w:rsid w:val="757842B9"/>
    <w:rsid w:val="7589262D"/>
    <w:rsid w:val="75983246"/>
    <w:rsid w:val="759A2EA6"/>
    <w:rsid w:val="75C70402"/>
    <w:rsid w:val="75E90B2F"/>
    <w:rsid w:val="75EB798F"/>
    <w:rsid w:val="75EC489B"/>
    <w:rsid w:val="75F659E6"/>
    <w:rsid w:val="75F90010"/>
    <w:rsid w:val="75FC3BE8"/>
    <w:rsid w:val="76091579"/>
    <w:rsid w:val="760A06E9"/>
    <w:rsid w:val="76233E9D"/>
    <w:rsid w:val="762A5736"/>
    <w:rsid w:val="762A729D"/>
    <w:rsid w:val="76352B8C"/>
    <w:rsid w:val="764F085C"/>
    <w:rsid w:val="7653533C"/>
    <w:rsid w:val="765B4FC6"/>
    <w:rsid w:val="76621FFB"/>
    <w:rsid w:val="766D0B93"/>
    <w:rsid w:val="767F3892"/>
    <w:rsid w:val="76872814"/>
    <w:rsid w:val="7697340E"/>
    <w:rsid w:val="76AF0982"/>
    <w:rsid w:val="76AF5F69"/>
    <w:rsid w:val="76C144E8"/>
    <w:rsid w:val="76F422CD"/>
    <w:rsid w:val="76F73788"/>
    <w:rsid w:val="77020148"/>
    <w:rsid w:val="7702068D"/>
    <w:rsid w:val="770573D2"/>
    <w:rsid w:val="770779BC"/>
    <w:rsid w:val="770933D6"/>
    <w:rsid w:val="770C7E7C"/>
    <w:rsid w:val="770F78AE"/>
    <w:rsid w:val="7715058F"/>
    <w:rsid w:val="77176A9E"/>
    <w:rsid w:val="772143E2"/>
    <w:rsid w:val="772246C6"/>
    <w:rsid w:val="772C7FC9"/>
    <w:rsid w:val="773C5377"/>
    <w:rsid w:val="774D57DD"/>
    <w:rsid w:val="7750415F"/>
    <w:rsid w:val="7760562B"/>
    <w:rsid w:val="77696560"/>
    <w:rsid w:val="777F2C6C"/>
    <w:rsid w:val="77831B2E"/>
    <w:rsid w:val="778B7F59"/>
    <w:rsid w:val="778C2F9A"/>
    <w:rsid w:val="778E1D33"/>
    <w:rsid w:val="77C03D63"/>
    <w:rsid w:val="77C27515"/>
    <w:rsid w:val="77C3116E"/>
    <w:rsid w:val="77D76DF0"/>
    <w:rsid w:val="77E02297"/>
    <w:rsid w:val="77E368B4"/>
    <w:rsid w:val="77E97852"/>
    <w:rsid w:val="780E6069"/>
    <w:rsid w:val="781A525E"/>
    <w:rsid w:val="781B2623"/>
    <w:rsid w:val="78300CA6"/>
    <w:rsid w:val="783811A8"/>
    <w:rsid w:val="78601924"/>
    <w:rsid w:val="78624429"/>
    <w:rsid w:val="787E62D0"/>
    <w:rsid w:val="78922C20"/>
    <w:rsid w:val="78B7265A"/>
    <w:rsid w:val="78B87324"/>
    <w:rsid w:val="78BC5F26"/>
    <w:rsid w:val="78C73470"/>
    <w:rsid w:val="78D06F04"/>
    <w:rsid w:val="78D248AA"/>
    <w:rsid w:val="78E348E4"/>
    <w:rsid w:val="78FD368E"/>
    <w:rsid w:val="78FD502C"/>
    <w:rsid w:val="79040DD2"/>
    <w:rsid w:val="791570B6"/>
    <w:rsid w:val="79194184"/>
    <w:rsid w:val="792973D4"/>
    <w:rsid w:val="792D2B46"/>
    <w:rsid w:val="79303719"/>
    <w:rsid w:val="793A3BEE"/>
    <w:rsid w:val="794A59CD"/>
    <w:rsid w:val="795253E2"/>
    <w:rsid w:val="796046AB"/>
    <w:rsid w:val="79622C15"/>
    <w:rsid w:val="797001FD"/>
    <w:rsid w:val="797979EF"/>
    <w:rsid w:val="798305B2"/>
    <w:rsid w:val="79884876"/>
    <w:rsid w:val="7991785D"/>
    <w:rsid w:val="79A52AD4"/>
    <w:rsid w:val="79AC7D32"/>
    <w:rsid w:val="79B65FFC"/>
    <w:rsid w:val="79BD62E6"/>
    <w:rsid w:val="79BE54FF"/>
    <w:rsid w:val="79C1576D"/>
    <w:rsid w:val="79CE00FA"/>
    <w:rsid w:val="79D1346F"/>
    <w:rsid w:val="79D66BA8"/>
    <w:rsid w:val="79DD596C"/>
    <w:rsid w:val="79E128F0"/>
    <w:rsid w:val="79FD7D3B"/>
    <w:rsid w:val="7A0544D6"/>
    <w:rsid w:val="7A0B50F3"/>
    <w:rsid w:val="7A17607E"/>
    <w:rsid w:val="7A1E0BE4"/>
    <w:rsid w:val="7A231526"/>
    <w:rsid w:val="7A2D33EE"/>
    <w:rsid w:val="7A325938"/>
    <w:rsid w:val="7A412820"/>
    <w:rsid w:val="7A4E0BB6"/>
    <w:rsid w:val="7A4F304A"/>
    <w:rsid w:val="7A514BCD"/>
    <w:rsid w:val="7A5A1231"/>
    <w:rsid w:val="7A617F95"/>
    <w:rsid w:val="7A752A6C"/>
    <w:rsid w:val="7A784D32"/>
    <w:rsid w:val="7AC558D9"/>
    <w:rsid w:val="7AC83AF3"/>
    <w:rsid w:val="7ACB25AC"/>
    <w:rsid w:val="7AE00F2E"/>
    <w:rsid w:val="7AE32122"/>
    <w:rsid w:val="7AF04307"/>
    <w:rsid w:val="7AFA0F05"/>
    <w:rsid w:val="7AFE4185"/>
    <w:rsid w:val="7B0F7E35"/>
    <w:rsid w:val="7B131C6C"/>
    <w:rsid w:val="7B1C26AF"/>
    <w:rsid w:val="7B37727F"/>
    <w:rsid w:val="7B3D4385"/>
    <w:rsid w:val="7B424DBC"/>
    <w:rsid w:val="7B614E7E"/>
    <w:rsid w:val="7B7F290B"/>
    <w:rsid w:val="7B872496"/>
    <w:rsid w:val="7B880B7A"/>
    <w:rsid w:val="7B996813"/>
    <w:rsid w:val="7BAF229B"/>
    <w:rsid w:val="7BB51390"/>
    <w:rsid w:val="7BB61B6E"/>
    <w:rsid w:val="7BC32D30"/>
    <w:rsid w:val="7BD047E0"/>
    <w:rsid w:val="7BD63FDE"/>
    <w:rsid w:val="7BE86FAF"/>
    <w:rsid w:val="7BFC5A52"/>
    <w:rsid w:val="7BFE127E"/>
    <w:rsid w:val="7C0573D5"/>
    <w:rsid w:val="7C145219"/>
    <w:rsid w:val="7C283298"/>
    <w:rsid w:val="7C3007CF"/>
    <w:rsid w:val="7C31600E"/>
    <w:rsid w:val="7C703FFE"/>
    <w:rsid w:val="7C765F4E"/>
    <w:rsid w:val="7C7B2E69"/>
    <w:rsid w:val="7C834920"/>
    <w:rsid w:val="7C890356"/>
    <w:rsid w:val="7C8B23AA"/>
    <w:rsid w:val="7C8B6B27"/>
    <w:rsid w:val="7C93511D"/>
    <w:rsid w:val="7C954C8A"/>
    <w:rsid w:val="7CA47EEA"/>
    <w:rsid w:val="7CAA5AC3"/>
    <w:rsid w:val="7CAE2406"/>
    <w:rsid w:val="7CB665A9"/>
    <w:rsid w:val="7CC154D4"/>
    <w:rsid w:val="7CDA7CDF"/>
    <w:rsid w:val="7CEF4183"/>
    <w:rsid w:val="7D221640"/>
    <w:rsid w:val="7D2B6F75"/>
    <w:rsid w:val="7D425F35"/>
    <w:rsid w:val="7D4763D2"/>
    <w:rsid w:val="7D8A1853"/>
    <w:rsid w:val="7D8D295A"/>
    <w:rsid w:val="7D951165"/>
    <w:rsid w:val="7DA11FCB"/>
    <w:rsid w:val="7DB21D49"/>
    <w:rsid w:val="7DB63D7B"/>
    <w:rsid w:val="7DC90A46"/>
    <w:rsid w:val="7DC95762"/>
    <w:rsid w:val="7DD649B5"/>
    <w:rsid w:val="7DDC63DC"/>
    <w:rsid w:val="7DFE0778"/>
    <w:rsid w:val="7DFF2241"/>
    <w:rsid w:val="7DFF4D60"/>
    <w:rsid w:val="7E192622"/>
    <w:rsid w:val="7E1E67B0"/>
    <w:rsid w:val="7E29228B"/>
    <w:rsid w:val="7E354DB8"/>
    <w:rsid w:val="7E407F1D"/>
    <w:rsid w:val="7E615E29"/>
    <w:rsid w:val="7E721E06"/>
    <w:rsid w:val="7E7D7B1B"/>
    <w:rsid w:val="7E8D04D6"/>
    <w:rsid w:val="7EA97AFE"/>
    <w:rsid w:val="7EAA406A"/>
    <w:rsid w:val="7EBE6C71"/>
    <w:rsid w:val="7ECC5718"/>
    <w:rsid w:val="7ED154BF"/>
    <w:rsid w:val="7ED56A75"/>
    <w:rsid w:val="7EDF2229"/>
    <w:rsid w:val="7EEB0E12"/>
    <w:rsid w:val="7EFA2C97"/>
    <w:rsid w:val="7EFC2258"/>
    <w:rsid w:val="7F133E95"/>
    <w:rsid w:val="7F146E31"/>
    <w:rsid w:val="7F3229E7"/>
    <w:rsid w:val="7F345C66"/>
    <w:rsid w:val="7F42009A"/>
    <w:rsid w:val="7F5004AC"/>
    <w:rsid w:val="7F5408E7"/>
    <w:rsid w:val="7F556E33"/>
    <w:rsid w:val="7F80681E"/>
    <w:rsid w:val="7F9A7D88"/>
    <w:rsid w:val="7FAC01D5"/>
    <w:rsid w:val="7FB6745D"/>
    <w:rsid w:val="7FC21BC8"/>
    <w:rsid w:val="7FDB567B"/>
    <w:rsid w:val="7FE25D79"/>
    <w:rsid w:val="7FE308A6"/>
    <w:rsid w:val="7FF456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qFormat="1" w:unhideWhenUsed="0" w:uiPriority="0" w:name="envelope address"/>
    <w:lsdException w:qFormat="1" w:unhideWhenUsed="0" w:uiPriority="0" w:name="envelope return"/>
    <w:lsdException w:unhideWhenUsed="0" w:uiPriority="0" w:semiHidden="0" w:name="footnote reference"/>
    <w:lsdException w:qFormat="1" w:unhideWhenUsed="0" w:uiPriority="0" w:semiHidden="0" w:name="annotation reference"/>
    <w:lsdException w:qFormat="1" w:unhideWhenUsed="0" w:uiPriority="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semiHidden="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semiHidden="0" w:name="Body Text 2"/>
    <w:lsdException w:qFormat="1" w:unhideWhenUsed="0"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141"/>
    <w:qFormat/>
    <w:uiPriority w:val="0"/>
    <w:pPr>
      <w:keepNext/>
      <w:keepLines/>
      <w:spacing w:line="480" w:lineRule="auto"/>
      <w:ind w:firstLine="420"/>
      <w:textAlignment w:val="baseline"/>
      <w:outlineLvl w:val="0"/>
    </w:pPr>
    <w:rPr>
      <w:rFonts w:eastAsia="汉仪大宋简"/>
      <w:kern w:val="44"/>
      <w:sz w:val="22"/>
      <w:szCs w:val="22"/>
    </w:rPr>
  </w:style>
  <w:style w:type="paragraph" w:styleId="4">
    <w:name w:val="heading 2"/>
    <w:basedOn w:val="1"/>
    <w:next w:val="5"/>
    <w:link w:val="140"/>
    <w:qFormat/>
    <w:uiPriority w:val="0"/>
    <w:pPr>
      <w:keepNext/>
      <w:keepLines/>
      <w:spacing w:before="100" w:after="100" w:line="416" w:lineRule="auto"/>
      <w:outlineLvl w:val="1"/>
    </w:pPr>
    <w:rPr>
      <w:rFonts w:ascii="Arial" w:hAnsi="Arial" w:eastAsia="宋体"/>
      <w:b/>
      <w:bCs/>
      <w:sz w:val="28"/>
      <w:szCs w:val="32"/>
    </w:rPr>
  </w:style>
  <w:style w:type="paragraph" w:styleId="6">
    <w:name w:val="heading 3"/>
    <w:basedOn w:val="1"/>
    <w:next w:val="1"/>
    <w:link w:val="142"/>
    <w:qFormat/>
    <w:uiPriority w:val="0"/>
    <w:pPr>
      <w:keepNext/>
      <w:keepLines/>
      <w:spacing w:before="260" w:after="260" w:line="416" w:lineRule="auto"/>
      <w:outlineLvl w:val="2"/>
    </w:pPr>
    <w:rPr>
      <w:b/>
      <w:bCs/>
      <w:sz w:val="32"/>
      <w:szCs w:val="32"/>
    </w:rPr>
  </w:style>
  <w:style w:type="paragraph" w:styleId="7">
    <w:name w:val="heading 4"/>
    <w:basedOn w:val="1"/>
    <w:next w:val="5"/>
    <w:link w:val="302"/>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303"/>
    <w:qFormat/>
    <w:uiPriority w:val="0"/>
    <w:pPr>
      <w:keepNext/>
      <w:keepLines/>
      <w:spacing w:line="360" w:lineRule="auto"/>
      <w:outlineLvl w:val="4"/>
    </w:pPr>
    <w:rPr>
      <w:rFonts w:eastAsia="黑体"/>
      <w:bCs/>
      <w:szCs w:val="28"/>
    </w:rPr>
  </w:style>
  <w:style w:type="paragraph" w:styleId="9">
    <w:name w:val="heading 6"/>
    <w:basedOn w:val="1"/>
    <w:next w:val="1"/>
    <w:link w:val="304"/>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qFormat/>
    <w:uiPriority w:val="0"/>
    <w:pPr>
      <w:keepNext/>
      <w:keepLines/>
      <w:spacing w:before="240" w:after="64" w:line="320" w:lineRule="auto"/>
      <w:outlineLvl w:val="6"/>
    </w:pPr>
    <w:rPr>
      <w:b/>
      <w:bCs/>
      <w:sz w:val="24"/>
    </w:rPr>
  </w:style>
  <w:style w:type="paragraph" w:styleId="11">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qFormat/>
    <w:uiPriority w:val="0"/>
    <w:pPr>
      <w:keepNext/>
      <w:keepLines/>
      <w:spacing w:before="240" w:after="64" w:line="320" w:lineRule="auto"/>
      <w:outlineLvl w:val="8"/>
    </w:pPr>
    <w:rPr>
      <w:rFonts w:ascii="Arial" w:hAnsi="Arial" w:eastAsia="黑体"/>
    </w:rPr>
  </w:style>
  <w:style w:type="character" w:default="1" w:styleId="121">
    <w:name w:val="Default Paragraph Font"/>
    <w:semiHidden/>
    <w:unhideWhenUsed/>
    <w:qFormat/>
    <w:uiPriority w:val="1"/>
  </w:style>
  <w:style w:type="table" w:default="1" w:styleId="7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323"/>
    <w:qFormat/>
    <w:uiPriority w:val="0"/>
    <w:pPr>
      <w:topLinePunct w:val="0"/>
      <w:spacing w:after="120"/>
    </w:pPr>
  </w:style>
  <w:style w:type="paragraph" w:styleId="5">
    <w:name w:val="Normal Indent"/>
    <w:basedOn w:val="1"/>
    <w:qFormat/>
    <w:uiPriority w:val="0"/>
    <w:pPr>
      <w:topLinePunct w:val="0"/>
      <w:spacing w:line="500" w:lineRule="exact"/>
      <w:ind w:firstLine="420"/>
    </w:pPr>
    <w:rPr>
      <w:sz w:val="28"/>
      <w:szCs w:val="20"/>
    </w:rPr>
  </w:style>
  <w:style w:type="paragraph" w:styleId="13">
    <w:name w:val="List 3"/>
    <w:basedOn w:val="1"/>
    <w:semiHidden/>
    <w:qFormat/>
    <w:uiPriority w:val="0"/>
    <w:pPr>
      <w:topLinePunct w:val="0"/>
      <w:ind w:left="1260" w:hanging="420"/>
    </w:pPr>
  </w:style>
  <w:style w:type="paragraph" w:styleId="14">
    <w:name w:val="toc 7"/>
    <w:basedOn w:val="1"/>
    <w:next w:val="1"/>
    <w:qFormat/>
    <w:uiPriority w:val="0"/>
    <w:pPr>
      <w:ind w:left="1260"/>
      <w:jc w:val="left"/>
    </w:pPr>
    <w:rPr>
      <w:sz w:val="18"/>
      <w:szCs w:val="18"/>
    </w:rPr>
  </w:style>
  <w:style w:type="paragraph" w:styleId="15">
    <w:name w:val="List Number 2"/>
    <w:basedOn w:val="1"/>
    <w:semiHidden/>
    <w:qFormat/>
    <w:uiPriority w:val="0"/>
    <w:pPr>
      <w:tabs>
        <w:tab w:val="left" w:pos="780"/>
      </w:tabs>
      <w:topLinePunct w:val="0"/>
      <w:ind w:left="780" w:hanging="360"/>
    </w:pPr>
  </w:style>
  <w:style w:type="paragraph" w:styleId="16">
    <w:name w:val="table of authorities"/>
    <w:basedOn w:val="1"/>
    <w:next w:val="1"/>
    <w:semiHidden/>
    <w:qFormat/>
    <w:uiPriority w:val="99"/>
    <w:pPr>
      <w:ind w:left="420" w:leftChars="200"/>
    </w:pPr>
    <w:rPr>
      <w:rFonts w:ascii="Wingdings" w:hAnsi="Wingdings" w:cs="Wingdings"/>
      <w:szCs w:val="22"/>
    </w:rPr>
  </w:style>
  <w:style w:type="paragraph" w:styleId="17">
    <w:name w:val="Note Heading"/>
    <w:basedOn w:val="1"/>
    <w:next w:val="1"/>
    <w:semiHidden/>
    <w:qFormat/>
    <w:uiPriority w:val="0"/>
    <w:pPr>
      <w:topLinePunct w:val="0"/>
      <w:jc w:val="center"/>
    </w:pPr>
  </w:style>
  <w:style w:type="paragraph" w:styleId="18">
    <w:name w:val="List Bullet 4"/>
    <w:basedOn w:val="1"/>
    <w:semiHidden/>
    <w:qFormat/>
    <w:uiPriority w:val="0"/>
    <w:pPr>
      <w:tabs>
        <w:tab w:val="left" w:pos="1620"/>
      </w:tabs>
      <w:topLinePunct w:val="0"/>
      <w:ind w:left="1620" w:hanging="360"/>
    </w:pPr>
  </w:style>
  <w:style w:type="paragraph" w:styleId="19">
    <w:name w:val="E-mail Signature"/>
    <w:basedOn w:val="1"/>
    <w:semiHidden/>
    <w:qFormat/>
    <w:uiPriority w:val="0"/>
    <w:pPr>
      <w:topLinePunct w:val="0"/>
    </w:pPr>
  </w:style>
  <w:style w:type="paragraph" w:styleId="20">
    <w:name w:val="List Number"/>
    <w:basedOn w:val="1"/>
    <w:semiHidden/>
    <w:qFormat/>
    <w:uiPriority w:val="0"/>
    <w:pPr>
      <w:tabs>
        <w:tab w:val="left" w:pos="360"/>
      </w:tabs>
      <w:topLinePunct w:val="0"/>
      <w:ind w:left="360" w:hanging="360"/>
    </w:pPr>
  </w:style>
  <w:style w:type="paragraph" w:styleId="21">
    <w:name w:val="caption"/>
    <w:basedOn w:val="1"/>
    <w:next w:val="1"/>
    <w:qFormat/>
    <w:uiPriority w:val="0"/>
    <w:pPr>
      <w:topLinePunct w:val="0"/>
      <w:spacing w:before="152" w:after="160"/>
    </w:pPr>
    <w:rPr>
      <w:rFonts w:ascii="Arial" w:hAnsi="Arial" w:eastAsia="黑体"/>
      <w:sz w:val="20"/>
      <w:szCs w:val="20"/>
    </w:rPr>
  </w:style>
  <w:style w:type="paragraph" w:styleId="22">
    <w:name w:val="List Bullet"/>
    <w:basedOn w:val="1"/>
    <w:qFormat/>
    <w:uiPriority w:val="0"/>
    <w:pPr>
      <w:numPr>
        <w:ilvl w:val="0"/>
        <w:numId w:val="1"/>
      </w:numPr>
      <w:topLinePunct w:val="0"/>
    </w:pPr>
  </w:style>
  <w:style w:type="paragraph" w:styleId="23">
    <w:name w:val="envelope address"/>
    <w:basedOn w:val="1"/>
    <w:semiHidden/>
    <w:qFormat/>
    <w:uiPriority w:val="0"/>
    <w:pPr>
      <w:framePr w:w="7920" w:h="1980" w:hRule="exact" w:hSpace="180" w:wrap="around" w:vAnchor="margin" w:hAnchor="page" w:xAlign="center" w:yAlign="bottom"/>
      <w:topLinePunct w:val="0"/>
      <w:snapToGrid w:val="0"/>
      <w:ind w:left="2880"/>
    </w:pPr>
    <w:rPr>
      <w:rFonts w:ascii="Arial" w:hAnsi="Arial" w:cs="Arial"/>
      <w:sz w:val="24"/>
    </w:rPr>
  </w:style>
  <w:style w:type="paragraph" w:styleId="24">
    <w:name w:val="Document Map"/>
    <w:basedOn w:val="1"/>
    <w:link w:val="162"/>
    <w:qFormat/>
    <w:uiPriority w:val="0"/>
    <w:pPr>
      <w:shd w:val="clear" w:color="auto" w:fill="000080"/>
    </w:pPr>
  </w:style>
  <w:style w:type="paragraph" w:styleId="25">
    <w:name w:val="annotation text"/>
    <w:basedOn w:val="1"/>
    <w:link w:val="324"/>
    <w:qFormat/>
    <w:uiPriority w:val="0"/>
    <w:pPr>
      <w:jc w:val="left"/>
    </w:pPr>
  </w:style>
  <w:style w:type="paragraph" w:styleId="26">
    <w:name w:val="Salutation"/>
    <w:basedOn w:val="1"/>
    <w:next w:val="1"/>
    <w:semiHidden/>
    <w:qFormat/>
    <w:uiPriority w:val="0"/>
    <w:pPr>
      <w:topLinePunct w:val="0"/>
    </w:pPr>
  </w:style>
  <w:style w:type="paragraph" w:styleId="27">
    <w:name w:val="Body Text 3"/>
    <w:basedOn w:val="1"/>
    <w:semiHidden/>
    <w:qFormat/>
    <w:uiPriority w:val="0"/>
    <w:pPr>
      <w:topLinePunct w:val="0"/>
      <w:spacing w:after="120"/>
    </w:pPr>
    <w:rPr>
      <w:sz w:val="16"/>
      <w:szCs w:val="16"/>
    </w:rPr>
  </w:style>
  <w:style w:type="paragraph" w:styleId="28">
    <w:name w:val="Closing"/>
    <w:basedOn w:val="1"/>
    <w:semiHidden/>
    <w:qFormat/>
    <w:uiPriority w:val="0"/>
    <w:pPr>
      <w:topLinePunct w:val="0"/>
      <w:ind w:left="4320"/>
    </w:pPr>
  </w:style>
  <w:style w:type="paragraph" w:styleId="29">
    <w:name w:val="List Bullet 3"/>
    <w:basedOn w:val="1"/>
    <w:semiHidden/>
    <w:qFormat/>
    <w:uiPriority w:val="0"/>
    <w:pPr>
      <w:tabs>
        <w:tab w:val="left" w:pos="1200"/>
      </w:tabs>
      <w:topLinePunct w:val="0"/>
      <w:ind w:left="1200" w:hanging="360"/>
    </w:pPr>
  </w:style>
  <w:style w:type="paragraph" w:styleId="30">
    <w:name w:val="Body Text Indent"/>
    <w:basedOn w:val="1"/>
    <w:link w:val="326"/>
    <w:qFormat/>
    <w:uiPriority w:val="0"/>
    <w:pPr>
      <w:spacing w:line="400" w:lineRule="atLeast"/>
      <w:ind w:left="900"/>
    </w:pPr>
    <w:rPr>
      <w:spacing w:val="10"/>
      <w:sz w:val="24"/>
    </w:rPr>
  </w:style>
  <w:style w:type="paragraph" w:styleId="31">
    <w:name w:val="List Number 3"/>
    <w:basedOn w:val="1"/>
    <w:semiHidden/>
    <w:qFormat/>
    <w:uiPriority w:val="0"/>
    <w:pPr>
      <w:tabs>
        <w:tab w:val="left" w:pos="1200"/>
      </w:tabs>
      <w:topLinePunct w:val="0"/>
      <w:ind w:left="1200" w:hanging="360"/>
    </w:pPr>
  </w:style>
  <w:style w:type="paragraph" w:styleId="32">
    <w:name w:val="List 2"/>
    <w:basedOn w:val="1"/>
    <w:semiHidden/>
    <w:qFormat/>
    <w:uiPriority w:val="0"/>
    <w:pPr>
      <w:topLinePunct w:val="0"/>
      <w:ind w:left="840" w:hanging="420"/>
    </w:pPr>
  </w:style>
  <w:style w:type="paragraph" w:styleId="33">
    <w:name w:val="List Continue"/>
    <w:basedOn w:val="1"/>
    <w:semiHidden/>
    <w:qFormat/>
    <w:uiPriority w:val="0"/>
    <w:pPr>
      <w:topLinePunct w:val="0"/>
      <w:spacing w:after="120"/>
      <w:ind w:left="420"/>
    </w:pPr>
  </w:style>
  <w:style w:type="paragraph" w:styleId="34">
    <w:name w:val="Block Text"/>
    <w:basedOn w:val="1"/>
    <w:qFormat/>
    <w:uiPriority w:val="0"/>
    <w:pPr>
      <w:topLinePunct w:val="0"/>
      <w:spacing w:after="120"/>
      <w:ind w:left="1440" w:right="1440"/>
    </w:pPr>
  </w:style>
  <w:style w:type="paragraph" w:styleId="35">
    <w:name w:val="List Bullet 2"/>
    <w:basedOn w:val="1"/>
    <w:semiHidden/>
    <w:qFormat/>
    <w:uiPriority w:val="0"/>
    <w:pPr>
      <w:tabs>
        <w:tab w:val="left" w:pos="780"/>
      </w:tabs>
      <w:topLinePunct w:val="0"/>
      <w:ind w:left="780" w:hanging="360"/>
    </w:pPr>
  </w:style>
  <w:style w:type="paragraph" w:styleId="36">
    <w:name w:val="HTML Address"/>
    <w:basedOn w:val="1"/>
    <w:semiHidden/>
    <w:qFormat/>
    <w:uiPriority w:val="0"/>
    <w:pPr>
      <w:topLinePunct w:val="0"/>
    </w:pPr>
    <w:rPr>
      <w:i/>
      <w:iCs/>
    </w:rPr>
  </w:style>
  <w:style w:type="paragraph" w:styleId="37">
    <w:name w:val="toc 5"/>
    <w:basedOn w:val="1"/>
    <w:next w:val="1"/>
    <w:qFormat/>
    <w:uiPriority w:val="0"/>
    <w:pPr>
      <w:ind w:left="840"/>
      <w:jc w:val="left"/>
    </w:pPr>
    <w:rPr>
      <w:sz w:val="18"/>
      <w:szCs w:val="18"/>
    </w:rPr>
  </w:style>
  <w:style w:type="paragraph" w:styleId="38">
    <w:name w:val="toc 3"/>
    <w:basedOn w:val="1"/>
    <w:next w:val="1"/>
    <w:qFormat/>
    <w:uiPriority w:val="39"/>
    <w:pPr>
      <w:ind w:left="840" w:leftChars="400"/>
    </w:pPr>
  </w:style>
  <w:style w:type="paragraph" w:styleId="39">
    <w:name w:val="Plain Text"/>
    <w:basedOn w:val="1"/>
    <w:link w:val="147"/>
    <w:qFormat/>
    <w:uiPriority w:val="0"/>
    <w:pPr>
      <w:topLinePunct w:val="0"/>
    </w:pPr>
    <w:rPr>
      <w:rFonts w:ascii="宋体" w:hAnsi="Courier New"/>
      <w:szCs w:val="20"/>
    </w:rPr>
  </w:style>
  <w:style w:type="paragraph" w:styleId="40">
    <w:name w:val="List Bullet 5"/>
    <w:basedOn w:val="1"/>
    <w:semiHidden/>
    <w:qFormat/>
    <w:uiPriority w:val="0"/>
    <w:pPr>
      <w:tabs>
        <w:tab w:val="left" w:pos="2040"/>
      </w:tabs>
      <w:topLinePunct w:val="0"/>
      <w:ind w:left="2040" w:hanging="360"/>
    </w:pPr>
  </w:style>
  <w:style w:type="paragraph" w:styleId="41">
    <w:name w:val="List Number 4"/>
    <w:basedOn w:val="1"/>
    <w:semiHidden/>
    <w:qFormat/>
    <w:uiPriority w:val="0"/>
    <w:pPr>
      <w:tabs>
        <w:tab w:val="left" w:pos="1620"/>
      </w:tabs>
      <w:topLinePunct w:val="0"/>
      <w:ind w:left="1620" w:hanging="360"/>
    </w:pPr>
  </w:style>
  <w:style w:type="paragraph" w:styleId="42">
    <w:name w:val="toc 8"/>
    <w:basedOn w:val="1"/>
    <w:next w:val="1"/>
    <w:qFormat/>
    <w:uiPriority w:val="0"/>
    <w:pPr>
      <w:ind w:left="1470"/>
      <w:jc w:val="left"/>
    </w:pPr>
    <w:rPr>
      <w:sz w:val="18"/>
      <w:szCs w:val="18"/>
    </w:rPr>
  </w:style>
  <w:style w:type="paragraph" w:styleId="43">
    <w:name w:val="Date"/>
    <w:basedOn w:val="1"/>
    <w:next w:val="1"/>
    <w:link w:val="329"/>
    <w:qFormat/>
    <w:uiPriority w:val="0"/>
    <w:pPr>
      <w:ind w:firstLine="200" w:firstLineChars="200"/>
    </w:pPr>
    <w:rPr>
      <w:rFonts w:ascii="Arial" w:hAnsi="Arial"/>
    </w:rPr>
  </w:style>
  <w:style w:type="paragraph" w:styleId="44">
    <w:name w:val="Body Text Indent 2"/>
    <w:basedOn w:val="1"/>
    <w:link w:val="327"/>
    <w:qFormat/>
    <w:uiPriority w:val="0"/>
    <w:pPr>
      <w:topLinePunct w:val="0"/>
      <w:autoSpaceDE w:val="0"/>
      <w:autoSpaceDN w:val="0"/>
      <w:adjustRightInd w:val="0"/>
      <w:spacing w:line="360" w:lineRule="auto"/>
      <w:ind w:firstLine="480" w:firstLineChars="200"/>
    </w:pPr>
    <w:rPr>
      <w:rFonts w:ascii="宋体"/>
      <w:color w:val="000000"/>
      <w:sz w:val="24"/>
    </w:rPr>
  </w:style>
  <w:style w:type="paragraph" w:styleId="45">
    <w:name w:val="List Continue 5"/>
    <w:basedOn w:val="1"/>
    <w:semiHidden/>
    <w:qFormat/>
    <w:uiPriority w:val="0"/>
    <w:pPr>
      <w:topLinePunct w:val="0"/>
      <w:spacing w:after="120"/>
      <w:ind w:left="2100"/>
    </w:pPr>
  </w:style>
  <w:style w:type="paragraph" w:styleId="46">
    <w:name w:val="Balloon Text"/>
    <w:basedOn w:val="1"/>
    <w:link w:val="322"/>
    <w:qFormat/>
    <w:uiPriority w:val="0"/>
    <w:rPr>
      <w:sz w:val="18"/>
      <w:szCs w:val="18"/>
    </w:rPr>
  </w:style>
  <w:style w:type="paragraph" w:styleId="47">
    <w:name w:val="footer"/>
    <w:basedOn w:val="1"/>
    <w:link w:val="149"/>
    <w:qFormat/>
    <w:uiPriority w:val="0"/>
    <w:pPr>
      <w:tabs>
        <w:tab w:val="center" w:pos="4153"/>
        <w:tab w:val="right" w:pos="8306"/>
      </w:tabs>
      <w:snapToGrid w:val="0"/>
      <w:jc w:val="left"/>
    </w:pPr>
    <w:rPr>
      <w:sz w:val="18"/>
      <w:szCs w:val="18"/>
    </w:rPr>
  </w:style>
  <w:style w:type="paragraph" w:styleId="48">
    <w:name w:val="envelope return"/>
    <w:basedOn w:val="1"/>
    <w:semiHidden/>
    <w:qFormat/>
    <w:uiPriority w:val="0"/>
    <w:pPr>
      <w:topLinePunct w:val="0"/>
      <w:snapToGrid w:val="0"/>
    </w:pPr>
    <w:rPr>
      <w:rFonts w:ascii="Arial" w:hAnsi="Arial" w:cs="Arial"/>
    </w:rPr>
  </w:style>
  <w:style w:type="paragraph" w:styleId="49">
    <w:name w:val="header"/>
    <w:basedOn w:val="1"/>
    <w:link w:val="148"/>
    <w:qFormat/>
    <w:uiPriority w:val="0"/>
    <w:pPr>
      <w:pBdr>
        <w:bottom w:val="single" w:color="auto" w:sz="6" w:space="1"/>
      </w:pBdr>
      <w:tabs>
        <w:tab w:val="center" w:pos="4153"/>
        <w:tab w:val="right" w:pos="8306"/>
      </w:tabs>
      <w:snapToGrid w:val="0"/>
      <w:jc w:val="center"/>
    </w:pPr>
    <w:rPr>
      <w:sz w:val="18"/>
      <w:szCs w:val="18"/>
    </w:rPr>
  </w:style>
  <w:style w:type="paragraph" w:styleId="50">
    <w:name w:val="Signature"/>
    <w:basedOn w:val="1"/>
    <w:semiHidden/>
    <w:qFormat/>
    <w:uiPriority w:val="0"/>
    <w:pPr>
      <w:topLinePunct w:val="0"/>
      <w:ind w:left="4320"/>
    </w:pPr>
  </w:style>
  <w:style w:type="paragraph" w:styleId="51">
    <w:name w:val="toc 1"/>
    <w:basedOn w:val="1"/>
    <w:next w:val="1"/>
    <w:qFormat/>
    <w:uiPriority w:val="39"/>
  </w:style>
  <w:style w:type="paragraph" w:styleId="52">
    <w:name w:val="List Continue 4"/>
    <w:basedOn w:val="1"/>
    <w:semiHidden/>
    <w:qFormat/>
    <w:uiPriority w:val="0"/>
    <w:pPr>
      <w:topLinePunct w:val="0"/>
      <w:spacing w:after="120"/>
      <w:ind w:left="1680"/>
    </w:pPr>
  </w:style>
  <w:style w:type="paragraph" w:styleId="53">
    <w:name w:val="toc 4"/>
    <w:basedOn w:val="1"/>
    <w:next w:val="1"/>
    <w:qFormat/>
    <w:uiPriority w:val="0"/>
    <w:pPr>
      <w:ind w:left="630"/>
      <w:jc w:val="left"/>
    </w:pPr>
    <w:rPr>
      <w:sz w:val="18"/>
      <w:szCs w:val="18"/>
    </w:rPr>
  </w:style>
  <w:style w:type="paragraph" w:styleId="54">
    <w:name w:val="index heading"/>
    <w:basedOn w:val="1"/>
    <w:next w:val="55"/>
    <w:semiHidden/>
    <w:qFormat/>
    <w:uiPriority w:val="0"/>
    <w:pPr>
      <w:topLinePunct w:val="0"/>
      <w:adjustRightInd w:val="0"/>
      <w:spacing w:line="490" w:lineRule="exact"/>
      <w:ind w:firstLine="556"/>
      <w:textAlignment w:val="baseline"/>
    </w:pPr>
    <w:rPr>
      <w:rFonts w:eastAsia="仿宋_GB2312"/>
      <w:kern w:val="0"/>
      <w:sz w:val="28"/>
      <w:szCs w:val="20"/>
    </w:rPr>
  </w:style>
  <w:style w:type="paragraph" w:styleId="55">
    <w:name w:val="index 1"/>
    <w:basedOn w:val="1"/>
    <w:next w:val="1"/>
    <w:semiHidden/>
    <w:qFormat/>
    <w:uiPriority w:val="0"/>
    <w:pPr>
      <w:topLinePunct w:val="0"/>
    </w:pPr>
  </w:style>
  <w:style w:type="paragraph" w:styleId="56">
    <w:name w:val="Subtitle"/>
    <w:basedOn w:val="1"/>
    <w:qFormat/>
    <w:uiPriority w:val="0"/>
    <w:pPr>
      <w:topLinePunct w:val="0"/>
      <w:spacing w:before="240" w:after="60" w:line="312" w:lineRule="auto"/>
      <w:jc w:val="center"/>
      <w:outlineLvl w:val="1"/>
    </w:pPr>
    <w:rPr>
      <w:rFonts w:ascii="Arial" w:hAnsi="Arial" w:cs="Arial"/>
      <w:b/>
      <w:bCs/>
      <w:kern w:val="28"/>
      <w:sz w:val="32"/>
      <w:szCs w:val="32"/>
    </w:rPr>
  </w:style>
  <w:style w:type="paragraph" w:styleId="57">
    <w:name w:val="List Number 5"/>
    <w:basedOn w:val="1"/>
    <w:semiHidden/>
    <w:qFormat/>
    <w:uiPriority w:val="0"/>
    <w:pPr>
      <w:tabs>
        <w:tab w:val="left" w:pos="2040"/>
      </w:tabs>
      <w:topLinePunct w:val="0"/>
      <w:ind w:left="2040" w:hanging="360"/>
    </w:pPr>
  </w:style>
  <w:style w:type="paragraph" w:styleId="58">
    <w:name w:val="List"/>
    <w:basedOn w:val="1"/>
    <w:qFormat/>
    <w:uiPriority w:val="0"/>
    <w:pPr>
      <w:topLinePunct w:val="0"/>
      <w:ind w:left="420" w:hanging="420"/>
    </w:pPr>
  </w:style>
  <w:style w:type="paragraph" w:styleId="59">
    <w:name w:val="toc 6"/>
    <w:basedOn w:val="1"/>
    <w:next w:val="1"/>
    <w:qFormat/>
    <w:uiPriority w:val="0"/>
    <w:pPr>
      <w:ind w:left="1050"/>
      <w:jc w:val="left"/>
    </w:pPr>
    <w:rPr>
      <w:sz w:val="18"/>
      <w:szCs w:val="18"/>
    </w:rPr>
  </w:style>
  <w:style w:type="paragraph" w:styleId="60">
    <w:name w:val="List 5"/>
    <w:basedOn w:val="1"/>
    <w:semiHidden/>
    <w:qFormat/>
    <w:uiPriority w:val="0"/>
    <w:pPr>
      <w:topLinePunct w:val="0"/>
      <w:ind w:left="2100" w:hanging="420"/>
    </w:pPr>
  </w:style>
  <w:style w:type="paragraph" w:styleId="61">
    <w:name w:val="Body Text Indent 3"/>
    <w:basedOn w:val="1"/>
    <w:link w:val="328"/>
    <w:qFormat/>
    <w:uiPriority w:val="0"/>
    <w:pPr>
      <w:wordWrap w:val="0"/>
      <w:overflowPunct w:val="0"/>
      <w:topLinePunct w:val="0"/>
      <w:autoSpaceDE w:val="0"/>
      <w:autoSpaceDN w:val="0"/>
      <w:adjustRightInd w:val="0"/>
      <w:spacing w:line="353" w:lineRule="auto"/>
      <w:ind w:left="600"/>
      <w:jc w:val="left"/>
      <w:textAlignment w:val="baseline"/>
    </w:pPr>
    <w:rPr>
      <w:rFonts w:ascii="Arial" w:hAnsi="Arial"/>
      <w:kern w:val="0"/>
      <w:sz w:val="24"/>
      <w:szCs w:val="20"/>
    </w:rPr>
  </w:style>
  <w:style w:type="paragraph" w:styleId="62">
    <w:name w:val="table of figures"/>
    <w:basedOn w:val="1"/>
    <w:next w:val="1"/>
    <w:semiHidden/>
    <w:qFormat/>
    <w:uiPriority w:val="0"/>
    <w:pPr>
      <w:topLinePunct w:val="0"/>
      <w:ind w:left="200" w:leftChars="200" w:hanging="200" w:hangingChars="200"/>
    </w:pPr>
  </w:style>
  <w:style w:type="paragraph" w:styleId="63">
    <w:name w:val="toc 2"/>
    <w:basedOn w:val="1"/>
    <w:next w:val="1"/>
    <w:qFormat/>
    <w:uiPriority w:val="39"/>
    <w:pPr>
      <w:adjustRightInd w:val="0"/>
      <w:spacing w:line="312" w:lineRule="atLeast"/>
      <w:ind w:left="420" w:leftChars="200"/>
      <w:textAlignment w:val="baseline"/>
    </w:pPr>
    <w:rPr>
      <w:kern w:val="0"/>
    </w:rPr>
  </w:style>
  <w:style w:type="paragraph" w:styleId="64">
    <w:name w:val="toc 9"/>
    <w:basedOn w:val="1"/>
    <w:next w:val="1"/>
    <w:qFormat/>
    <w:uiPriority w:val="0"/>
    <w:pPr>
      <w:ind w:left="1680"/>
      <w:jc w:val="left"/>
    </w:pPr>
    <w:rPr>
      <w:sz w:val="18"/>
      <w:szCs w:val="18"/>
    </w:rPr>
  </w:style>
  <w:style w:type="paragraph" w:styleId="65">
    <w:name w:val="Body Text 2"/>
    <w:basedOn w:val="1"/>
    <w:qFormat/>
    <w:uiPriority w:val="0"/>
    <w:pPr>
      <w:topLinePunct w:val="0"/>
      <w:spacing w:after="120" w:line="480" w:lineRule="auto"/>
    </w:pPr>
  </w:style>
  <w:style w:type="paragraph" w:styleId="66">
    <w:name w:val="List 4"/>
    <w:basedOn w:val="1"/>
    <w:semiHidden/>
    <w:qFormat/>
    <w:uiPriority w:val="0"/>
    <w:pPr>
      <w:topLinePunct w:val="0"/>
      <w:ind w:left="1680" w:hanging="420"/>
    </w:pPr>
  </w:style>
  <w:style w:type="paragraph" w:styleId="67">
    <w:name w:val="List Continue 2"/>
    <w:basedOn w:val="1"/>
    <w:semiHidden/>
    <w:qFormat/>
    <w:uiPriority w:val="0"/>
    <w:pPr>
      <w:topLinePunct w:val="0"/>
      <w:spacing w:after="120"/>
      <w:ind w:left="840"/>
    </w:pPr>
  </w:style>
  <w:style w:type="paragraph" w:styleId="68">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topLinePunct w:val="0"/>
      <w:ind w:left="1080" w:hanging="1080"/>
    </w:pPr>
    <w:rPr>
      <w:rFonts w:ascii="Arial" w:hAnsi="Arial" w:cs="Arial"/>
      <w:sz w:val="24"/>
    </w:rPr>
  </w:style>
  <w:style w:type="paragraph" w:styleId="69">
    <w:name w:val="HTML Preformatted"/>
    <w:basedOn w:val="1"/>
    <w:semiHidden/>
    <w:qFormat/>
    <w:uiPriority w:val="0"/>
    <w:pPr>
      <w:topLinePunct w:val="0"/>
    </w:pPr>
    <w:rPr>
      <w:rFonts w:ascii="Courier New" w:hAnsi="Courier New" w:cs="Courier New"/>
      <w:sz w:val="20"/>
      <w:szCs w:val="20"/>
    </w:rPr>
  </w:style>
  <w:style w:type="paragraph" w:styleId="70">
    <w:name w:val="Normal (Web)"/>
    <w:basedOn w:val="1"/>
    <w:semiHidden/>
    <w:qFormat/>
    <w:uiPriority w:val="0"/>
    <w:pPr>
      <w:topLinePunct w:val="0"/>
    </w:pPr>
    <w:rPr>
      <w:sz w:val="24"/>
    </w:rPr>
  </w:style>
  <w:style w:type="paragraph" w:styleId="71">
    <w:name w:val="List Continue 3"/>
    <w:basedOn w:val="1"/>
    <w:semiHidden/>
    <w:qFormat/>
    <w:uiPriority w:val="0"/>
    <w:pPr>
      <w:topLinePunct w:val="0"/>
      <w:spacing w:after="120"/>
      <w:ind w:left="1260"/>
    </w:pPr>
  </w:style>
  <w:style w:type="paragraph" w:styleId="72">
    <w:name w:val="Title"/>
    <w:basedOn w:val="1"/>
    <w:qFormat/>
    <w:uiPriority w:val="0"/>
    <w:pPr>
      <w:topLinePunct w:val="0"/>
      <w:spacing w:before="240" w:after="60"/>
      <w:jc w:val="center"/>
      <w:outlineLvl w:val="0"/>
    </w:pPr>
    <w:rPr>
      <w:rFonts w:ascii="Arial" w:hAnsi="Arial" w:cs="Arial"/>
      <w:b/>
      <w:bCs/>
      <w:sz w:val="30"/>
      <w:szCs w:val="32"/>
    </w:rPr>
  </w:style>
  <w:style w:type="paragraph" w:styleId="73">
    <w:name w:val="annotation subject"/>
    <w:basedOn w:val="25"/>
    <w:next w:val="25"/>
    <w:link w:val="325"/>
    <w:qFormat/>
    <w:uiPriority w:val="0"/>
    <w:rPr>
      <w:b/>
      <w:bCs/>
    </w:rPr>
  </w:style>
  <w:style w:type="paragraph" w:styleId="74">
    <w:name w:val="Body Text First Indent"/>
    <w:basedOn w:val="2"/>
    <w:semiHidden/>
    <w:qFormat/>
    <w:uiPriority w:val="0"/>
    <w:pPr>
      <w:ind w:firstLine="420"/>
    </w:pPr>
  </w:style>
  <w:style w:type="paragraph" w:styleId="75">
    <w:name w:val="Body Text First Indent 2"/>
    <w:basedOn w:val="30"/>
    <w:semiHidden/>
    <w:qFormat/>
    <w:uiPriority w:val="0"/>
    <w:pPr>
      <w:topLinePunct w:val="0"/>
      <w:spacing w:after="120" w:line="240" w:lineRule="auto"/>
      <w:ind w:left="420" w:firstLine="420"/>
    </w:pPr>
    <w:rPr>
      <w:spacing w:val="0"/>
      <w:sz w:val="21"/>
    </w:rPr>
  </w:style>
  <w:style w:type="table" w:styleId="77">
    <w:name w:val="Table Grid"/>
    <w:basedOn w:val="76"/>
    <w:qFormat/>
    <w:uiPriority w:val="0"/>
    <w:pPr>
      <w:widowControl w:val="0"/>
      <w:topLinePunc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0">
    <w:name w:val="Table Colorful 2"/>
    <w:basedOn w:val="76"/>
    <w:semiHidden/>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1">
    <w:name w:val="Table Colorful 3"/>
    <w:basedOn w:val="76"/>
    <w:semiHidden/>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2">
    <w:name w:val="Table Elegant"/>
    <w:basedOn w:val="76"/>
    <w:semiHidden/>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83">
    <w:name w:val="Table Classic 1"/>
    <w:basedOn w:val="76"/>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4">
    <w:name w:val="Table Classic 2"/>
    <w:basedOn w:val="76"/>
    <w:semiHidden/>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85">
    <w:name w:val="Table Classic 3"/>
    <w:basedOn w:val="76"/>
    <w:semiHidden/>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6">
    <w:name w:val="Table Classic 4"/>
    <w:basedOn w:val="76"/>
    <w:semiHidden/>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87">
    <w:name w:val="Table Simple 1"/>
    <w:basedOn w:val="76"/>
    <w:semiHidden/>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88">
    <w:name w:val="Table Simple 2"/>
    <w:basedOn w:val="76"/>
    <w:semiHidden/>
    <w:qFormat/>
    <w:uiPriority w:val="0"/>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89">
    <w:name w:val="Table Simple 3"/>
    <w:basedOn w:val="76"/>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90">
    <w:name w:val="Table Subtle 1"/>
    <w:basedOn w:val="76"/>
    <w:semiHidden/>
    <w:qFormat/>
    <w:uiPriority w:val="0"/>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1">
    <w:name w:val="Table Subtle 2"/>
    <w:basedOn w:val="76"/>
    <w:semiHidden/>
    <w:qFormat/>
    <w:uiPriority w:val="0"/>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2">
    <w:name w:val="Table 3D effects 1"/>
    <w:basedOn w:val="76"/>
    <w:semiHidden/>
    <w:qFormat/>
    <w:uiPriority w:val="0"/>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3">
    <w:name w:val="Table 3D effects 2"/>
    <w:basedOn w:val="76"/>
    <w:semiHidden/>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4">
    <w:name w:val="Table 3D effects 3"/>
    <w:basedOn w:val="76"/>
    <w:semiHidden/>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5">
    <w:name w:val="Table List 1"/>
    <w:basedOn w:val="76"/>
    <w:semiHidden/>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96">
    <w:name w:val="Table List 2"/>
    <w:basedOn w:val="76"/>
    <w:semiHidden/>
    <w:qFormat/>
    <w:uiPriority w:val="0"/>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97">
    <w:name w:val="Table List 3"/>
    <w:basedOn w:val="76"/>
    <w:semiHidden/>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98">
    <w:name w:val="Table List 4"/>
    <w:basedOn w:val="76"/>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99">
    <w:name w:val="Table List 5"/>
    <w:basedOn w:val="76"/>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0">
    <w:name w:val="Table List 6"/>
    <w:basedOn w:val="76"/>
    <w:semiHidden/>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1">
    <w:name w:val="Table List 7"/>
    <w:basedOn w:val="76"/>
    <w:semiHidden/>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2">
    <w:name w:val="Table List 8"/>
    <w:basedOn w:val="76"/>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3">
    <w:name w:val="Table Contemporary"/>
    <w:basedOn w:val="76"/>
    <w:semiHidden/>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04">
    <w:name w:val="Table Columns 1"/>
    <w:basedOn w:val="76"/>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76"/>
    <w:semiHidden/>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76"/>
    <w:semiHidden/>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76"/>
    <w:semiHidden/>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0">
    <w:name w:val="Table Grid 2"/>
    <w:basedOn w:val="76"/>
    <w:semiHidden/>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1">
    <w:name w:val="Table Grid 3"/>
    <w:basedOn w:val="76"/>
    <w:semiHidden/>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2">
    <w:name w:val="Table Grid 4"/>
    <w:basedOn w:val="76"/>
    <w:semiHidden/>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3">
    <w:name w:val="Table Grid 5"/>
    <w:basedOn w:val="76"/>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4">
    <w:name w:val="Table Grid 6"/>
    <w:basedOn w:val="76"/>
    <w:semiHidden/>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7"/>
    <w:basedOn w:val="76"/>
    <w:semiHidden/>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6">
    <w:name w:val="Table Grid 8"/>
    <w:basedOn w:val="76"/>
    <w:semiHidden/>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17">
    <w:name w:val="Table Web 1"/>
    <w:basedOn w:val="76"/>
    <w:semiHidden/>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18">
    <w:name w:val="Table Web 2"/>
    <w:basedOn w:val="76"/>
    <w:semiHidden/>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19">
    <w:name w:val="Table Web 3"/>
    <w:basedOn w:val="76"/>
    <w:semiHidden/>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0">
    <w:name w:val="Table Professional"/>
    <w:basedOn w:val="76"/>
    <w:semiHidden/>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122">
    <w:name w:val="Strong"/>
    <w:qFormat/>
    <w:uiPriority w:val="0"/>
    <w:rPr>
      <w:b/>
      <w:bCs/>
    </w:rPr>
  </w:style>
  <w:style w:type="character" w:styleId="123">
    <w:name w:val="page number"/>
    <w:basedOn w:val="121"/>
    <w:qFormat/>
    <w:uiPriority w:val="0"/>
  </w:style>
  <w:style w:type="character" w:styleId="124">
    <w:name w:val="FollowedHyperlink"/>
    <w:semiHidden/>
    <w:qFormat/>
    <w:uiPriority w:val="0"/>
    <w:rPr>
      <w:color w:val="800080"/>
      <w:u w:val="single"/>
    </w:rPr>
  </w:style>
  <w:style w:type="character" w:styleId="125">
    <w:name w:val="Emphasis"/>
    <w:qFormat/>
    <w:uiPriority w:val="0"/>
    <w:rPr>
      <w:i/>
      <w:iCs/>
    </w:rPr>
  </w:style>
  <w:style w:type="character" w:styleId="126">
    <w:name w:val="line number"/>
    <w:basedOn w:val="121"/>
    <w:semiHidden/>
    <w:qFormat/>
    <w:uiPriority w:val="0"/>
  </w:style>
  <w:style w:type="character" w:styleId="127">
    <w:name w:val="HTML Definition"/>
    <w:semiHidden/>
    <w:qFormat/>
    <w:uiPriority w:val="0"/>
    <w:rPr>
      <w:i/>
      <w:iCs/>
    </w:rPr>
  </w:style>
  <w:style w:type="character" w:styleId="128">
    <w:name w:val="HTML Typewriter"/>
    <w:semiHidden/>
    <w:qFormat/>
    <w:uiPriority w:val="0"/>
    <w:rPr>
      <w:rFonts w:ascii="Courier New" w:hAnsi="Courier New" w:cs="Courier New"/>
      <w:sz w:val="20"/>
      <w:szCs w:val="20"/>
    </w:rPr>
  </w:style>
  <w:style w:type="character" w:styleId="129">
    <w:name w:val="HTML Acronym"/>
    <w:basedOn w:val="121"/>
    <w:semiHidden/>
    <w:qFormat/>
    <w:uiPriority w:val="0"/>
  </w:style>
  <w:style w:type="character" w:styleId="130">
    <w:name w:val="HTML Variable"/>
    <w:semiHidden/>
    <w:qFormat/>
    <w:uiPriority w:val="0"/>
    <w:rPr>
      <w:i/>
      <w:iCs/>
    </w:rPr>
  </w:style>
  <w:style w:type="character" w:styleId="131">
    <w:name w:val="Hyperlink"/>
    <w:qFormat/>
    <w:uiPriority w:val="99"/>
    <w:rPr>
      <w:color w:val="0000FF"/>
      <w:u w:val="single"/>
    </w:rPr>
  </w:style>
  <w:style w:type="character" w:styleId="132">
    <w:name w:val="HTML Code"/>
    <w:semiHidden/>
    <w:qFormat/>
    <w:uiPriority w:val="0"/>
    <w:rPr>
      <w:rFonts w:ascii="Courier New" w:hAnsi="Courier New" w:cs="Courier New"/>
      <w:sz w:val="20"/>
      <w:szCs w:val="20"/>
    </w:rPr>
  </w:style>
  <w:style w:type="character" w:styleId="133">
    <w:name w:val="annotation reference"/>
    <w:qFormat/>
    <w:uiPriority w:val="0"/>
    <w:rPr>
      <w:sz w:val="21"/>
      <w:szCs w:val="21"/>
    </w:rPr>
  </w:style>
  <w:style w:type="character" w:styleId="134">
    <w:name w:val="HTML Cite"/>
    <w:semiHidden/>
    <w:qFormat/>
    <w:uiPriority w:val="0"/>
    <w:rPr>
      <w:i/>
      <w:iCs/>
    </w:rPr>
  </w:style>
  <w:style w:type="character" w:styleId="135">
    <w:name w:val="HTML Keyboard"/>
    <w:semiHidden/>
    <w:qFormat/>
    <w:uiPriority w:val="0"/>
    <w:rPr>
      <w:rFonts w:ascii="Courier New" w:hAnsi="Courier New" w:cs="Courier New"/>
      <w:sz w:val="20"/>
      <w:szCs w:val="20"/>
    </w:rPr>
  </w:style>
  <w:style w:type="character" w:styleId="136">
    <w:name w:val="HTML Sample"/>
    <w:semiHidden/>
    <w:qFormat/>
    <w:uiPriority w:val="0"/>
    <w:rPr>
      <w:rFonts w:ascii="Courier New" w:hAnsi="Courier New" w:cs="Courier New"/>
    </w:rPr>
  </w:style>
  <w:style w:type="character" w:customStyle="1" w:styleId="137">
    <w:name w:val="标题 2 Char"/>
    <w:qFormat/>
    <w:uiPriority w:val="0"/>
    <w:rPr>
      <w:rFonts w:eastAsia="黑体"/>
      <w:kern w:val="2"/>
      <w:sz w:val="21"/>
      <w:szCs w:val="21"/>
      <w:lang w:val="en-US" w:eastAsia="zh-CN" w:bidi="ar-SA"/>
    </w:rPr>
  </w:style>
  <w:style w:type="character" w:customStyle="1" w:styleId="138">
    <w:name w:val="标题 3 Char"/>
    <w:qFormat/>
    <w:uiPriority w:val="0"/>
    <w:rPr>
      <w:rFonts w:ascii="Arial" w:hAnsi="Arial" w:eastAsia="宋体" w:cs="Arial"/>
      <w:b/>
      <w:bCs/>
      <w:kern w:val="2"/>
      <w:sz w:val="32"/>
      <w:szCs w:val="32"/>
      <w:lang w:val="en-US" w:eastAsia="zh-CN" w:bidi="ar-SA"/>
    </w:rPr>
  </w:style>
  <w:style w:type="character" w:customStyle="1" w:styleId="139">
    <w:name w:val="标题 1 Char"/>
    <w:qFormat/>
    <w:uiPriority w:val="0"/>
    <w:rPr>
      <w:rFonts w:ascii="汉仪大宋简" w:eastAsia="汉仪大宋简"/>
      <w:kern w:val="28"/>
      <w:sz w:val="22"/>
      <w:szCs w:val="26"/>
      <w:lang w:val="en-US" w:eastAsia="zh-CN" w:bidi="ar-SA"/>
    </w:rPr>
  </w:style>
  <w:style w:type="character" w:customStyle="1" w:styleId="140">
    <w:name w:val="标题 2 字符"/>
    <w:link w:val="4"/>
    <w:qFormat/>
    <w:uiPriority w:val="0"/>
    <w:rPr>
      <w:rFonts w:ascii="Arial" w:hAnsi="Arial" w:eastAsia="宋体"/>
      <w:b/>
      <w:bCs/>
      <w:kern w:val="2"/>
      <w:sz w:val="28"/>
      <w:szCs w:val="32"/>
      <w:lang w:val="en-US" w:eastAsia="zh-CN" w:bidi="ar-SA"/>
    </w:rPr>
  </w:style>
  <w:style w:type="character" w:customStyle="1" w:styleId="141">
    <w:name w:val="标题 1 字符"/>
    <w:link w:val="3"/>
    <w:qFormat/>
    <w:uiPriority w:val="0"/>
    <w:rPr>
      <w:rFonts w:eastAsia="汉仪大宋简"/>
      <w:kern w:val="44"/>
      <w:sz w:val="22"/>
      <w:szCs w:val="22"/>
      <w:lang w:val="en-US" w:eastAsia="zh-CN" w:bidi="ar-SA"/>
    </w:rPr>
  </w:style>
  <w:style w:type="character" w:customStyle="1" w:styleId="142">
    <w:name w:val="标题 3 字符"/>
    <w:link w:val="6"/>
    <w:qFormat/>
    <w:uiPriority w:val="0"/>
    <w:rPr>
      <w:rFonts w:eastAsia="宋体"/>
      <w:b/>
      <w:bCs/>
      <w:kern w:val="2"/>
      <w:sz w:val="32"/>
      <w:szCs w:val="32"/>
      <w:lang w:val="en-US" w:eastAsia="zh-CN" w:bidi="ar-SA"/>
    </w:rPr>
  </w:style>
  <w:style w:type="paragraph" w:customStyle="1" w:styleId="143">
    <w:name w:val="样式3"/>
    <w:basedOn w:val="1"/>
    <w:link w:val="261"/>
    <w:qFormat/>
    <w:uiPriority w:val="0"/>
    <w:pPr>
      <w:keepNext/>
      <w:keepLines/>
      <w:spacing w:line="312" w:lineRule="exact"/>
      <w:jc w:val="left"/>
    </w:pPr>
    <w:rPr>
      <w:rFonts w:ascii="EU-F1" w:eastAsia="黑体"/>
      <w:color w:val="000000"/>
    </w:rPr>
  </w:style>
  <w:style w:type="paragraph" w:customStyle="1" w:styleId="144">
    <w:name w:val="样式4"/>
    <w:basedOn w:val="1"/>
    <w:qFormat/>
    <w:uiPriority w:val="0"/>
    <w:pPr>
      <w:ind w:left="840" w:hanging="420"/>
    </w:pPr>
  </w:style>
  <w:style w:type="paragraph" w:customStyle="1" w:styleId="145">
    <w:name w:val="样式5"/>
    <w:semiHidden/>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146">
    <w:name w:val="样式6"/>
    <w:basedOn w:val="1"/>
    <w:link w:val="172"/>
    <w:qFormat/>
    <w:uiPriority w:val="0"/>
    <w:pPr>
      <w:spacing w:before="160" w:after="60"/>
      <w:jc w:val="center"/>
    </w:pPr>
    <w:rPr>
      <w:rFonts w:eastAsia="黑体"/>
    </w:rPr>
  </w:style>
  <w:style w:type="character" w:customStyle="1" w:styleId="147">
    <w:name w:val="纯文本 字符"/>
    <w:link w:val="39"/>
    <w:qFormat/>
    <w:uiPriority w:val="0"/>
    <w:rPr>
      <w:rFonts w:ascii="宋体" w:hAnsi="Courier New" w:eastAsia="宋体"/>
      <w:kern w:val="2"/>
      <w:sz w:val="21"/>
      <w:lang w:val="en-US" w:eastAsia="zh-CN" w:bidi="ar-SA"/>
    </w:rPr>
  </w:style>
  <w:style w:type="character" w:customStyle="1" w:styleId="148">
    <w:name w:val="页眉 字符"/>
    <w:link w:val="49"/>
    <w:qFormat/>
    <w:uiPriority w:val="0"/>
    <w:rPr>
      <w:rFonts w:eastAsia="宋体"/>
      <w:kern w:val="2"/>
      <w:sz w:val="18"/>
      <w:szCs w:val="18"/>
      <w:lang w:val="en-US" w:eastAsia="zh-CN" w:bidi="ar-SA"/>
    </w:rPr>
  </w:style>
  <w:style w:type="character" w:customStyle="1" w:styleId="149">
    <w:name w:val="页脚 字符"/>
    <w:link w:val="47"/>
    <w:qFormat/>
    <w:uiPriority w:val="0"/>
    <w:rPr>
      <w:rFonts w:eastAsia="宋体"/>
      <w:kern w:val="2"/>
      <w:sz w:val="18"/>
      <w:szCs w:val="18"/>
      <w:lang w:val="en-US" w:eastAsia="zh-CN" w:bidi="ar-SA"/>
    </w:rPr>
  </w:style>
  <w:style w:type="paragraph" w:customStyle="1" w:styleId="150">
    <w:name w:val="Char Char2"/>
    <w:basedOn w:val="1"/>
    <w:qFormat/>
    <w:uiPriority w:val="0"/>
    <w:pPr>
      <w:topLinePunct w:val="0"/>
    </w:pPr>
    <w:rPr>
      <w:szCs w:val="20"/>
    </w:rPr>
  </w:style>
  <w:style w:type="paragraph" w:customStyle="1" w:styleId="151">
    <w:name w:val="样式 1"/>
    <w:basedOn w:val="3"/>
    <w:qFormat/>
    <w:uiPriority w:val="0"/>
    <w:pPr>
      <w:keepNext w:val="0"/>
      <w:keepLines w:val="0"/>
      <w:spacing w:line="240" w:lineRule="auto"/>
      <w:ind w:firstLine="0"/>
    </w:pPr>
    <w:rPr>
      <w:rFonts w:ascii="EU-F1" w:eastAsia="黑体"/>
      <w:bCs/>
      <w:kern w:val="21"/>
      <w:sz w:val="21"/>
      <w:szCs w:val="21"/>
    </w:rPr>
  </w:style>
  <w:style w:type="paragraph" w:customStyle="1" w:styleId="152">
    <w:name w:val="表头"/>
    <w:basedOn w:val="1"/>
    <w:link w:val="153"/>
    <w:qFormat/>
    <w:uiPriority w:val="0"/>
    <w:pPr>
      <w:spacing w:before="160" w:after="60" w:line="312" w:lineRule="exact"/>
      <w:jc w:val="center"/>
    </w:pPr>
    <w:rPr>
      <w:rFonts w:ascii="EU-F1" w:eastAsia="黑体"/>
    </w:rPr>
  </w:style>
  <w:style w:type="character" w:customStyle="1" w:styleId="153">
    <w:name w:val="表头 Char"/>
    <w:link w:val="152"/>
    <w:qFormat/>
    <w:uiPriority w:val="0"/>
    <w:rPr>
      <w:rFonts w:ascii="EU-F1" w:eastAsia="黑体"/>
      <w:kern w:val="2"/>
      <w:sz w:val="21"/>
      <w:szCs w:val="21"/>
      <w:lang w:val="en-US" w:eastAsia="zh-CN" w:bidi="ar-SA"/>
    </w:rPr>
  </w:style>
  <w:style w:type="paragraph" w:customStyle="1" w:styleId="154">
    <w:name w:val="图说"/>
    <w:basedOn w:val="1"/>
    <w:link w:val="271"/>
    <w:semiHidden/>
    <w:qFormat/>
    <w:uiPriority w:val="0"/>
    <w:pPr>
      <w:spacing w:before="40" w:after="160"/>
      <w:jc w:val="center"/>
    </w:pPr>
    <w:rPr>
      <w:rFonts w:cs="宋体"/>
      <w:sz w:val="18"/>
      <w:szCs w:val="20"/>
    </w:rPr>
  </w:style>
  <w:style w:type="paragraph" w:customStyle="1" w:styleId="155">
    <w:name w:val="样式1"/>
    <w:basedOn w:val="3"/>
    <w:link w:val="173"/>
    <w:qFormat/>
    <w:uiPriority w:val="0"/>
    <w:pPr>
      <w:keepNext w:val="0"/>
      <w:keepLines w:val="0"/>
      <w:spacing w:line="1200" w:lineRule="auto"/>
      <w:ind w:firstLine="0"/>
      <w:jc w:val="center"/>
      <w:textAlignment w:val="auto"/>
    </w:pPr>
    <w:rPr>
      <w:rFonts w:eastAsia="黑体"/>
      <w:kern w:val="2"/>
      <w:sz w:val="32"/>
      <w:szCs w:val="20"/>
    </w:rPr>
  </w:style>
  <w:style w:type="paragraph" w:customStyle="1" w:styleId="156">
    <w:name w:val="样式2"/>
    <w:basedOn w:val="1"/>
    <w:link w:val="157"/>
    <w:qFormat/>
    <w:uiPriority w:val="0"/>
    <w:pPr>
      <w:keepNext/>
      <w:keepLines/>
      <w:spacing w:line="480" w:lineRule="auto"/>
      <w:jc w:val="left"/>
    </w:pPr>
    <w:rPr>
      <w:rFonts w:ascii="EU-F1" w:eastAsia="黑体"/>
      <w:color w:val="000000"/>
    </w:rPr>
  </w:style>
  <w:style w:type="character" w:customStyle="1" w:styleId="157">
    <w:name w:val="样式2 Char"/>
    <w:link w:val="156"/>
    <w:qFormat/>
    <w:uiPriority w:val="0"/>
    <w:rPr>
      <w:rFonts w:ascii="EU-F1" w:eastAsia="黑体"/>
      <w:color w:val="000000"/>
      <w:kern w:val="2"/>
      <w:sz w:val="21"/>
      <w:szCs w:val="21"/>
      <w:lang w:val="en-US" w:eastAsia="zh-CN" w:bidi="ar-SA"/>
    </w:rPr>
  </w:style>
  <w:style w:type="paragraph" w:customStyle="1" w:styleId="158">
    <w:name w:val="正文格式"/>
    <w:basedOn w:val="1"/>
    <w:link w:val="159"/>
    <w:qFormat/>
    <w:uiPriority w:val="0"/>
    <w:pPr>
      <w:ind w:firstLine="420" w:firstLineChars="200"/>
    </w:pPr>
    <w:rPr>
      <w:rFonts w:ascii="宋体" w:hAnsi="宋体"/>
      <w:bCs/>
    </w:rPr>
  </w:style>
  <w:style w:type="character" w:customStyle="1" w:styleId="159">
    <w:name w:val="正文格式 Char"/>
    <w:link w:val="158"/>
    <w:qFormat/>
    <w:uiPriority w:val="0"/>
    <w:rPr>
      <w:rFonts w:ascii="宋体" w:hAnsi="宋体" w:eastAsia="宋体"/>
      <w:bCs/>
      <w:kern w:val="2"/>
      <w:sz w:val="21"/>
      <w:szCs w:val="21"/>
      <w:lang w:val="en-US" w:eastAsia="zh-CN" w:bidi="ar-SA"/>
    </w:rPr>
  </w:style>
  <w:style w:type="paragraph" w:customStyle="1" w:styleId="160">
    <w:name w:val="Char"/>
    <w:basedOn w:val="1"/>
    <w:qFormat/>
    <w:uiPriority w:val="0"/>
  </w:style>
  <w:style w:type="character" w:customStyle="1" w:styleId="161">
    <w:name w:val="样式 Arial"/>
    <w:qFormat/>
    <w:uiPriority w:val="0"/>
    <w:rPr>
      <w:rFonts w:hint="default" w:ascii="Times New Roman" w:hAnsi="Times New Roman" w:eastAsia="宋体" w:cs="Times New Roman"/>
      <w:sz w:val="21"/>
      <w:szCs w:val="21"/>
    </w:rPr>
  </w:style>
  <w:style w:type="character" w:customStyle="1" w:styleId="162">
    <w:name w:val="文档结构图 字符"/>
    <w:link w:val="24"/>
    <w:qFormat/>
    <w:uiPriority w:val="0"/>
    <w:rPr>
      <w:rFonts w:eastAsia="宋体"/>
      <w:kern w:val="2"/>
      <w:sz w:val="21"/>
      <w:szCs w:val="21"/>
      <w:lang w:val="en-US" w:eastAsia="zh-CN" w:bidi="ar-SA"/>
    </w:rPr>
  </w:style>
  <w:style w:type="paragraph" w:customStyle="1" w:styleId="163">
    <w:name w:val="默认段落字体 Para Char Char Char Char Char"/>
    <w:basedOn w:val="1"/>
    <w:qFormat/>
    <w:uiPriority w:val="0"/>
    <w:rPr>
      <w:rFonts w:ascii="宋体" w:hAnsi="宋体"/>
      <w:b/>
      <w:bCs/>
      <w:color w:val="000000"/>
      <w:sz w:val="24"/>
    </w:rPr>
  </w:style>
  <w:style w:type="paragraph" w:customStyle="1" w:styleId="164">
    <w:name w:val="样式 首行缩进:  0 厘米 行距: 单倍行距 Char"/>
    <w:basedOn w:val="1"/>
    <w:qFormat/>
    <w:uiPriority w:val="0"/>
    <w:pPr>
      <w:adjustRightInd w:val="0"/>
      <w:textAlignment w:val="baseline"/>
    </w:pPr>
    <w:rPr>
      <w:kern w:val="0"/>
    </w:rPr>
  </w:style>
  <w:style w:type="paragraph" w:customStyle="1" w:styleId="165">
    <w:name w:val="样式 Arial 首行缩进:  2 字符"/>
    <w:basedOn w:val="1"/>
    <w:qFormat/>
    <w:uiPriority w:val="0"/>
    <w:pPr>
      <w:ind w:firstLine="403" w:firstLineChars="200"/>
    </w:pPr>
  </w:style>
  <w:style w:type="paragraph" w:customStyle="1" w:styleId="166">
    <w:name w:val="样式 标题 1 + 首行缩进:  2 字符 段前: 1 行 段后: 1 行"/>
    <w:basedOn w:val="3"/>
    <w:qFormat/>
    <w:uiPriority w:val="0"/>
    <w:pPr>
      <w:spacing w:beforeLines="100" w:afterLines="100" w:line="240" w:lineRule="auto"/>
      <w:ind w:firstLine="0"/>
      <w:textAlignment w:val="auto"/>
    </w:pPr>
    <w:rPr>
      <w:rFonts w:eastAsia="黑体"/>
      <w:sz w:val="21"/>
      <w:szCs w:val="28"/>
    </w:rPr>
  </w:style>
  <w:style w:type="paragraph" w:customStyle="1" w:styleId="167">
    <w:name w:val="样式 样式 标题 2 + 段前: 0.5 行 段后: 0.5 行 + 首行缩进:  2 字符 段前: 0.5 行 段后: 0..."/>
    <w:basedOn w:val="1"/>
    <w:qFormat/>
    <w:uiPriority w:val="0"/>
    <w:pPr>
      <w:keepNext/>
      <w:keepLines/>
      <w:adjustRightInd w:val="0"/>
      <w:spacing w:beforeLines="50" w:afterLines="50"/>
      <w:jc w:val="left"/>
      <w:outlineLvl w:val="1"/>
    </w:pPr>
    <w:rPr>
      <w:rFonts w:eastAsia="黑体"/>
      <w:kern w:val="0"/>
    </w:rPr>
  </w:style>
  <w:style w:type="paragraph" w:customStyle="1" w:styleId="168">
    <w:name w:val="Char11"/>
    <w:basedOn w:val="1"/>
    <w:qFormat/>
    <w:uiPriority w:val="0"/>
  </w:style>
  <w:style w:type="paragraph" w:customStyle="1" w:styleId="169">
    <w:name w:val="wang正文"/>
    <w:basedOn w:val="1"/>
    <w:link w:val="170"/>
    <w:qFormat/>
    <w:uiPriority w:val="0"/>
    <w:pPr>
      <w:tabs>
        <w:tab w:val="left" w:pos="6840"/>
      </w:tabs>
      <w:ind w:firstLine="420"/>
    </w:pPr>
    <w:rPr>
      <w:kern w:val="0"/>
    </w:rPr>
  </w:style>
  <w:style w:type="character" w:customStyle="1" w:styleId="170">
    <w:name w:val="wang正文 Char"/>
    <w:link w:val="169"/>
    <w:qFormat/>
    <w:uiPriority w:val="0"/>
    <w:rPr>
      <w:rFonts w:eastAsia="宋体"/>
      <w:sz w:val="21"/>
      <w:szCs w:val="21"/>
      <w:lang w:val="en-US" w:eastAsia="zh-CN" w:bidi="ar-SA"/>
    </w:rPr>
  </w:style>
  <w:style w:type="paragraph" w:customStyle="1" w:styleId="171">
    <w:name w:val="默认段落字体 Para Char Char Char Char"/>
    <w:basedOn w:val="1"/>
    <w:qFormat/>
    <w:uiPriority w:val="0"/>
    <w:pPr>
      <w:topLinePunct w:val="0"/>
    </w:pPr>
    <w:rPr>
      <w:szCs w:val="20"/>
    </w:rPr>
  </w:style>
  <w:style w:type="character" w:customStyle="1" w:styleId="172">
    <w:name w:val="样式6 Char"/>
    <w:link w:val="146"/>
    <w:qFormat/>
    <w:uiPriority w:val="0"/>
    <w:rPr>
      <w:rFonts w:eastAsia="黑体"/>
      <w:kern w:val="2"/>
      <w:sz w:val="21"/>
      <w:szCs w:val="21"/>
      <w:lang w:val="en-US" w:eastAsia="zh-CN" w:bidi="ar-SA"/>
    </w:rPr>
  </w:style>
  <w:style w:type="character" w:customStyle="1" w:styleId="173">
    <w:name w:val="样式1 Char"/>
    <w:link w:val="155"/>
    <w:qFormat/>
    <w:uiPriority w:val="0"/>
    <w:rPr>
      <w:rFonts w:eastAsia="黑体"/>
      <w:kern w:val="2"/>
      <w:sz w:val="32"/>
      <w:lang w:val="en-US" w:eastAsia="zh-CN" w:bidi="ar-SA"/>
    </w:rPr>
  </w:style>
  <w:style w:type="character" w:customStyle="1" w:styleId="174">
    <w:name w:val="标题 1 Char Char"/>
    <w:qFormat/>
    <w:uiPriority w:val="0"/>
    <w:rPr>
      <w:rFonts w:eastAsia="宋体"/>
      <w:b/>
      <w:kern w:val="44"/>
      <w:sz w:val="44"/>
      <w:lang w:val="en-US" w:eastAsia="zh-CN" w:bidi="ar-SA"/>
    </w:rPr>
  </w:style>
  <w:style w:type="character" w:customStyle="1" w:styleId="175">
    <w:name w:val="Char Char7"/>
    <w:qFormat/>
    <w:uiPriority w:val="0"/>
    <w:rPr>
      <w:rFonts w:ascii="汉仪大宋简" w:eastAsia="汉仪大宋简"/>
      <w:kern w:val="28"/>
      <w:sz w:val="22"/>
      <w:szCs w:val="26"/>
      <w:lang w:val="en-US" w:eastAsia="zh-CN" w:bidi="ar-SA"/>
    </w:rPr>
  </w:style>
  <w:style w:type="character" w:customStyle="1" w:styleId="176">
    <w:name w:val="Char Char4"/>
    <w:qFormat/>
    <w:uiPriority w:val="0"/>
    <w:rPr>
      <w:rFonts w:eastAsia="宋体"/>
      <w:kern w:val="2"/>
      <w:sz w:val="18"/>
      <w:lang w:val="en-US" w:eastAsia="zh-CN" w:bidi="ar-SA"/>
    </w:rPr>
  </w:style>
  <w:style w:type="paragraph" w:customStyle="1" w:styleId="177">
    <w:name w:val="xl50"/>
    <w:basedOn w:val="1"/>
    <w:semiHidden/>
    <w:qFormat/>
    <w:uiPriority w:val="0"/>
    <w:pPr>
      <w:widowControl/>
      <w:topLinePunct w:val="0"/>
      <w:spacing w:before="100" w:beforeAutospacing="1" w:after="100" w:afterAutospacing="1"/>
      <w:jc w:val="center"/>
    </w:pPr>
    <w:rPr>
      <w:rFonts w:ascii="宋体" w:hAnsi="宋体"/>
      <w:kern w:val="0"/>
      <w:sz w:val="24"/>
    </w:rPr>
  </w:style>
  <w:style w:type="paragraph" w:customStyle="1" w:styleId="178">
    <w:name w:val="节小标题"/>
    <w:basedOn w:val="11"/>
    <w:semiHidden/>
    <w:qFormat/>
    <w:uiPriority w:val="0"/>
    <w:pPr>
      <w:topLinePunct w:val="0"/>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179">
    <w:name w:val="正文1"/>
    <w:basedOn w:val="155"/>
    <w:semiHidden/>
    <w:qFormat/>
    <w:uiPriority w:val="0"/>
    <w:pPr>
      <w:tabs>
        <w:tab w:val="left" w:pos="2160"/>
      </w:tabs>
      <w:topLinePunct w:val="0"/>
      <w:adjustRightInd w:val="0"/>
      <w:spacing w:line="490" w:lineRule="exact"/>
      <w:textAlignment w:val="baseline"/>
      <w:outlineLvl w:val="9"/>
    </w:pPr>
    <w:rPr>
      <w:rFonts w:ascii="仿宋_GB2312" w:eastAsia="仿宋_GB2312"/>
      <w:kern w:val="0"/>
      <w:sz w:val="34"/>
    </w:rPr>
  </w:style>
  <w:style w:type="paragraph" w:customStyle="1" w:styleId="180">
    <w:name w:val="font5"/>
    <w:basedOn w:val="1"/>
    <w:semiHidden/>
    <w:qFormat/>
    <w:uiPriority w:val="0"/>
    <w:pPr>
      <w:widowControl/>
      <w:topLinePunct w:val="0"/>
      <w:spacing w:before="100" w:beforeAutospacing="1" w:after="100" w:afterAutospacing="1"/>
      <w:jc w:val="left"/>
    </w:pPr>
    <w:rPr>
      <w:rFonts w:hint="eastAsia" w:ascii="宋体" w:hAnsi="宋体"/>
      <w:kern w:val="0"/>
      <w:sz w:val="18"/>
      <w:szCs w:val="18"/>
    </w:rPr>
  </w:style>
  <w:style w:type="paragraph" w:customStyle="1" w:styleId="181">
    <w:name w:val="font6"/>
    <w:basedOn w:val="1"/>
    <w:semiHidden/>
    <w:qFormat/>
    <w:uiPriority w:val="0"/>
    <w:pPr>
      <w:widowControl/>
      <w:topLinePunct w:val="0"/>
      <w:spacing w:before="100" w:beforeAutospacing="1" w:after="100" w:afterAutospacing="1"/>
      <w:jc w:val="left"/>
    </w:pPr>
    <w:rPr>
      <w:rFonts w:hint="eastAsia" w:ascii="宋体" w:hAnsi="宋体"/>
      <w:color w:val="000000"/>
      <w:kern w:val="0"/>
      <w:sz w:val="20"/>
      <w:szCs w:val="20"/>
    </w:rPr>
  </w:style>
  <w:style w:type="paragraph" w:customStyle="1" w:styleId="182">
    <w:name w:val="font7"/>
    <w:basedOn w:val="1"/>
    <w:semiHidden/>
    <w:qFormat/>
    <w:uiPriority w:val="0"/>
    <w:pPr>
      <w:widowControl/>
      <w:topLinePunct w:val="0"/>
      <w:spacing w:before="100" w:beforeAutospacing="1" w:after="100" w:afterAutospacing="1"/>
      <w:jc w:val="left"/>
    </w:pPr>
    <w:rPr>
      <w:color w:val="000000"/>
      <w:kern w:val="0"/>
      <w:sz w:val="20"/>
      <w:szCs w:val="20"/>
    </w:rPr>
  </w:style>
  <w:style w:type="paragraph" w:customStyle="1" w:styleId="183">
    <w:name w:val="xl24"/>
    <w:basedOn w:val="1"/>
    <w:semiHidden/>
    <w:qFormat/>
    <w:uiPriority w:val="0"/>
    <w:pPr>
      <w:widowControl/>
      <w:pBdr>
        <w:top w:val="single" w:color="auto" w:sz="4" w:space="0"/>
        <w:left w:val="single" w:color="auto" w:sz="4" w:space="0"/>
        <w:bottom w:val="single" w:color="auto" w:sz="4" w:space="0"/>
        <w:right w:val="single" w:color="auto" w:sz="4" w:space="0"/>
      </w:pBdr>
      <w:shd w:val="clear" w:color="auto" w:fill="C0C0C0"/>
      <w:topLinePunct w:val="0"/>
      <w:spacing w:before="100" w:beforeAutospacing="1" w:after="100" w:afterAutospacing="1"/>
      <w:jc w:val="center"/>
    </w:pPr>
    <w:rPr>
      <w:kern w:val="0"/>
      <w:sz w:val="16"/>
      <w:szCs w:val="16"/>
    </w:rPr>
  </w:style>
  <w:style w:type="paragraph" w:customStyle="1" w:styleId="184">
    <w:name w:val="xl25"/>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pPr>
    <w:rPr>
      <w:kern w:val="0"/>
      <w:sz w:val="16"/>
      <w:szCs w:val="16"/>
    </w:rPr>
  </w:style>
  <w:style w:type="paragraph" w:customStyle="1" w:styleId="185">
    <w:name w:val="xl26"/>
    <w:basedOn w:val="1"/>
    <w:semiHidden/>
    <w:qFormat/>
    <w:uiPriority w:val="0"/>
    <w:pPr>
      <w:widowControl/>
      <w:pBdr>
        <w:top w:val="single" w:color="auto" w:sz="4" w:space="0"/>
        <w:left w:val="single" w:color="auto" w:sz="4" w:space="0"/>
        <w:bottom w:val="single" w:color="auto" w:sz="4" w:space="0"/>
        <w:right w:val="single" w:color="auto" w:sz="4" w:space="0"/>
      </w:pBdr>
      <w:shd w:val="clear" w:color="auto" w:fill="C0C0C0"/>
      <w:topLinePunct w:val="0"/>
      <w:spacing w:before="100" w:beforeAutospacing="1" w:after="100" w:afterAutospacing="1"/>
      <w:jc w:val="center"/>
      <w:textAlignment w:val="center"/>
    </w:pPr>
    <w:rPr>
      <w:kern w:val="0"/>
      <w:sz w:val="16"/>
      <w:szCs w:val="16"/>
    </w:rPr>
  </w:style>
  <w:style w:type="paragraph" w:customStyle="1" w:styleId="186">
    <w:name w:val="xl27"/>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left"/>
    </w:pPr>
    <w:rPr>
      <w:kern w:val="0"/>
      <w:sz w:val="16"/>
      <w:szCs w:val="16"/>
    </w:rPr>
  </w:style>
  <w:style w:type="paragraph" w:customStyle="1" w:styleId="187">
    <w:name w:val="xl28"/>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color w:val="000000"/>
      <w:kern w:val="0"/>
      <w:sz w:val="16"/>
      <w:szCs w:val="16"/>
    </w:rPr>
  </w:style>
  <w:style w:type="paragraph" w:customStyle="1" w:styleId="188">
    <w:name w:val="xl29"/>
    <w:basedOn w:val="1"/>
    <w:semiHidden/>
    <w:qFormat/>
    <w:uiPriority w:val="0"/>
    <w:pPr>
      <w:widowControl/>
      <w:pBdr>
        <w:top w:val="single" w:color="auto" w:sz="4" w:space="0"/>
        <w:left w:val="single" w:color="auto" w:sz="4" w:space="0"/>
        <w:bottom w:val="single" w:color="auto" w:sz="4" w:space="0"/>
        <w:right w:val="single" w:color="auto" w:sz="4" w:space="0"/>
      </w:pBdr>
      <w:shd w:val="clear" w:color="auto" w:fill="C0C0C0"/>
      <w:topLinePunct w:val="0"/>
      <w:spacing w:before="100" w:beforeAutospacing="1" w:after="100" w:afterAutospacing="1"/>
      <w:jc w:val="center"/>
      <w:textAlignment w:val="center"/>
    </w:pPr>
    <w:rPr>
      <w:kern w:val="0"/>
      <w:sz w:val="16"/>
      <w:szCs w:val="16"/>
    </w:rPr>
  </w:style>
  <w:style w:type="paragraph" w:customStyle="1" w:styleId="189">
    <w:name w:val="xl30"/>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kern w:val="0"/>
      <w:sz w:val="16"/>
      <w:szCs w:val="16"/>
    </w:rPr>
  </w:style>
  <w:style w:type="paragraph" w:customStyle="1" w:styleId="190">
    <w:name w:val="xl31"/>
    <w:basedOn w:val="1"/>
    <w:semiHidden/>
    <w:qFormat/>
    <w:uiPriority w:val="0"/>
    <w:pPr>
      <w:widowControl/>
      <w:pBdr>
        <w:top w:val="single" w:color="auto" w:sz="4" w:space="0"/>
        <w:left w:val="single" w:color="auto" w:sz="4" w:space="0"/>
        <w:bottom w:val="single" w:color="auto" w:sz="4" w:space="0"/>
        <w:right w:val="single" w:color="auto" w:sz="4" w:space="0"/>
      </w:pBdr>
      <w:shd w:val="clear" w:color="auto" w:fill="C0C0C0"/>
      <w:topLinePunct w:val="0"/>
      <w:spacing w:before="100" w:beforeAutospacing="1" w:after="100" w:afterAutospacing="1"/>
      <w:jc w:val="center"/>
    </w:pPr>
    <w:rPr>
      <w:kern w:val="0"/>
      <w:sz w:val="16"/>
      <w:szCs w:val="16"/>
    </w:rPr>
  </w:style>
  <w:style w:type="paragraph" w:customStyle="1" w:styleId="191">
    <w:name w:val="xl32"/>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pPr>
    <w:rPr>
      <w:kern w:val="0"/>
      <w:sz w:val="16"/>
      <w:szCs w:val="16"/>
    </w:rPr>
  </w:style>
  <w:style w:type="paragraph" w:customStyle="1" w:styleId="192">
    <w:name w:val="xl33"/>
    <w:basedOn w:val="1"/>
    <w:semiHidden/>
    <w:qFormat/>
    <w:uiPriority w:val="0"/>
    <w:pPr>
      <w:widowControl/>
      <w:pBdr>
        <w:top w:val="single" w:color="auto" w:sz="4" w:space="0"/>
        <w:left w:val="single" w:color="auto" w:sz="4" w:space="0"/>
        <w:bottom w:val="single" w:color="auto" w:sz="4" w:space="0"/>
        <w:right w:val="single" w:color="auto" w:sz="4" w:space="0"/>
      </w:pBdr>
      <w:shd w:val="clear" w:color="auto" w:fill="C0C0C0"/>
      <w:topLinePunct w:val="0"/>
      <w:spacing w:before="100" w:beforeAutospacing="1" w:after="100" w:afterAutospacing="1"/>
      <w:jc w:val="center"/>
      <w:textAlignment w:val="center"/>
    </w:pPr>
    <w:rPr>
      <w:color w:val="000000"/>
      <w:kern w:val="0"/>
      <w:sz w:val="16"/>
      <w:szCs w:val="16"/>
    </w:rPr>
  </w:style>
  <w:style w:type="paragraph" w:customStyle="1" w:styleId="193">
    <w:name w:val="xl34"/>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rFonts w:ascii="宋体" w:hAnsi="宋体"/>
      <w:color w:val="000000"/>
      <w:kern w:val="0"/>
      <w:sz w:val="20"/>
      <w:szCs w:val="20"/>
    </w:rPr>
  </w:style>
  <w:style w:type="paragraph" w:customStyle="1" w:styleId="194">
    <w:name w:val="xl35"/>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rFonts w:ascii="宋体" w:hAnsi="宋体"/>
      <w:kern w:val="0"/>
      <w:sz w:val="20"/>
      <w:szCs w:val="20"/>
    </w:rPr>
  </w:style>
  <w:style w:type="paragraph" w:customStyle="1" w:styleId="195">
    <w:name w:val="xl36"/>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color w:val="000000"/>
      <w:kern w:val="0"/>
      <w:sz w:val="20"/>
      <w:szCs w:val="20"/>
    </w:rPr>
  </w:style>
  <w:style w:type="paragraph" w:customStyle="1" w:styleId="196">
    <w:name w:val="xl37"/>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pPr>
    <w:rPr>
      <w:rFonts w:ascii="宋体" w:hAnsi="宋体"/>
      <w:kern w:val="0"/>
      <w:sz w:val="20"/>
      <w:szCs w:val="20"/>
    </w:rPr>
  </w:style>
  <w:style w:type="paragraph" w:customStyle="1" w:styleId="197">
    <w:name w:val="xl38"/>
    <w:basedOn w:val="1"/>
    <w:semiHidden/>
    <w:qFormat/>
    <w:uiPriority w:val="0"/>
    <w:pPr>
      <w:widowControl/>
      <w:pBdr>
        <w:top w:val="single" w:color="auto" w:sz="4" w:space="0"/>
        <w:left w:val="single" w:color="auto" w:sz="4" w:space="0"/>
        <w:bottom w:val="single" w:color="auto" w:sz="4" w:space="0"/>
        <w:right w:val="single" w:color="auto" w:sz="4" w:space="0"/>
      </w:pBdr>
      <w:shd w:val="clear" w:color="auto" w:fill="FFFFFF"/>
      <w:topLinePunct w:val="0"/>
      <w:spacing w:before="100" w:beforeAutospacing="1" w:after="100" w:afterAutospacing="1"/>
      <w:jc w:val="center"/>
    </w:pPr>
    <w:rPr>
      <w:kern w:val="0"/>
      <w:sz w:val="16"/>
      <w:szCs w:val="16"/>
    </w:rPr>
  </w:style>
  <w:style w:type="paragraph" w:customStyle="1" w:styleId="198">
    <w:name w:val="xl39"/>
    <w:basedOn w:val="1"/>
    <w:semiHidden/>
    <w:qFormat/>
    <w:uiPriority w:val="0"/>
    <w:pPr>
      <w:widowControl/>
      <w:pBdr>
        <w:top w:val="single" w:color="auto" w:sz="4" w:space="0"/>
        <w:left w:val="single" w:color="auto" w:sz="4" w:space="0"/>
        <w:right w:val="single" w:color="auto" w:sz="4" w:space="0"/>
      </w:pBdr>
      <w:topLinePunct w:val="0"/>
      <w:spacing w:before="100" w:beforeAutospacing="1" w:after="100" w:afterAutospacing="1"/>
      <w:jc w:val="center"/>
      <w:textAlignment w:val="center"/>
    </w:pPr>
    <w:rPr>
      <w:kern w:val="0"/>
      <w:sz w:val="16"/>
      <w:szCs w:val="16"/>
    </w:rPr>
  </w:style>
  <w:style w:type="paragraph" w:customStyle="1" w:styleId="199">
    <w:name w:val="xl40"/>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kern w:val="0"/>
      <w:sz w:val="16"/>
      <w:szCs w:val="16"/>
    </w:rPr>
  </w:style>
  <w:style w:type="paragraph" w:customStyle="1" w:styleId="200">
    <w:name w:val="xl41"/>
    <w:basedOn w:val="1"/>
    <w:semiHidden/>
    <w:qFormat/>
    <w:uiPriority w:val="0"/>
    <w:pPr>
      <w:widowControl/>
      <w:pBdr>
        <w:top w:val="single" w:color="auto" w:sz="4" w:space="0"/>
        <w:left w:val="single" w:color="auto" w:sz="4" w:space="0"/>
        <w:right w:val="single" w:color="auto" w:sz="4" w:space="0"/>
      </w:pBdr>
      <w:topLinePunct w:val="0"/>
      <w:spacing w:before="100" w:beforeAutospacing="1" w:after="100" w:afterAutospacing="1"/>
      <w:jc w:val="center"/>
      <w:textAlignment w:val="center"/>
    </w:pPr>
    <w:rPr>
      <w:color w:val="000000"/>
      <w:kern w:val="0"/>
      <w:sz w:val="16"/>
      <w:szCs w:val="16"/>
    </w:rPr>
  </w:style>
  <w:style w:type="paragraph" w:customStyle="1" w:styleId="201">
    <w:name w:val="xl42"/>
    <w:basedOn w:val="1"/>
    <w:semiHidden/>
    <w:qFormat/>
    <w:uiPriority w:val="0"/>
    <w:pPr>
      <w:widowControl/>
      <w:pBdr>
        <w:left w:val="single" w:color="auto" w:sz="4" w:space="0"/>
        <w:right w:val="single" w:color="auto" w:sz="4" w:space="0"/>
      </w:pBdr>
      <w:topLinePunct w:val="0"/>
      <w:spacing w:before="100" w:beforeAutospacing="1" w:after="100" w:afterAutospacing="1"/>
      <w:jc w:val="center"/>
      <w:textAlignment w:val="center"/>
    </w:pPr>
    <w:rPr>
      <w:color w:val="000000"/>
      <w:kern w:val="0"/>
      <w:sz w:val="16"/>
      <w:szCs w:val="16"/>
    </w:rPr>
  </w:style>
  <w:style w:type="paragraph" w:customStyle="1" w:styleId="202">
    <w:name w:val="xl43"/>
    <w:basedOn w:val="1"/>
    <w:semiHidden/>
    <w:qFormat/>
    <w:uiPriority w:val="0"/>
    <w:pPr>
      <w:widowControl/>
      <w:pBdr>
        <w:left w:val="single" w:color="auto" w:sz="4" w:space="0"/>
        <w:bottom w:val="single" w:color="auto" w:sz="4" w:space="0"/>
        <w:right w:val="single" w:color="auto" w:sz="4" w:space="0"/>
      </w:pBdr>
      <w:topLinePunct w:val="0"/>
      <w:spacing w:before="100" w:beforeAutospacing="1" w:after="100" w:afterAutospacing="1"/>
      <w:jc w:val="center"/>
      <w:textAlignment w:val="center"/>
    </w:pPr>
    <w:rPr>
      <w:color w:val="000000"/>
      <w:kern w:val="0"/>
      <w:sz w:val="16"/>
      <w:szCs w:val="16"/>
    </w:rPr>
  </w:style>
  <w:style w:type="paragraph" w:customStyle="1" w:styleId="203">
    <w:name w:val="xl44"/>
    <w:basedOn w:val="1"/>
    <w:semiHidden/>
    <w:qFormat/>
    <w:uiPriority w:val="0"/>
    <w:pPr>
      <w:widowControl/>
      <w:pBdr>
        <w:top w:val="single" w:color="auto" w:sz="4" w:space="0"/>
        <w:left w:val="single" w:color="auto" w:sz="4" w:space="0"/>
        <w:right w:val="single" w:color="auto" w:sz="4" w:space="0"/>
      </w:pBdr>
      <w:shd w:val="clear" w:color="auto" w:fill="C0C0C0"/>
      <w:topLinePunct w:val="0"/>
      <w:spacing w:before="100" w:beforeAutospacing="1" w:after="100" w:afterAutospacing="1"/>
      <w:jc w:val="center"/>
      <w:textAlignment w:val="center"/>
    </w:pPr>
    <w:rPr>
      <w:color w:val="000000"/>
      <w:kern w:val="0"/>
      <w:sz w:val="16"/>
      <w:szCs w:val="16"/>
    </w:rPr>
  </w:style>
  <w:style w:type="paragraph" w:customStyle="1" w:styleId="204">
    <w:name w:val="xl45"/>
    <w:basedOn w:val="1"/>
    <w:semiHidden/>
    <w:qFormat/>
    <w:uiPriority w:val="0"/>
    <w:pPr>
      <w:widowControl/>
      <w:pBdr>
        <w:left w:val="single" w:color="auto" w:sz="4" w:space="0"/>
        <w:right w:val="single" w:color="auto" w:sz="4" w:space="0"/>
      </w:pBdr>
      <w:shd w:val="clear" w:color="auto" w:fill="C0C0C0"/>
      <w:topLinePunct w:val="0"/>
      <w:spacing w:before="100" w:beforeAutospacing="1" w:after="100" w:afterAutospacing="1"/>
      <w:jc w:val="center"/>
      <w:textAlignment w:val="center"/>
    </w:pPr>
    <w:rPr>
      <w:color w:val="000000"/>
      <w:kern w:val="0"/>
      <w:sz w:val="16"/>
      <w:szCs w:val="16"/>
    </w:rPr>
  </w:style>
  <w:style w:type="paragraph" w:customStyle="1" w:styleId="205">
    <w:name w:val="xl46"/>
    <w:basedOn w:val="1"/>
    <w:semiHidden/>
    <w:qFormat/>
    <w:uiPriority w:val="0"/>
    <w:pPr>
      <w:widowControl/>
      <w:pBdr>
        <w:left w:val="single" w:color="auto" w:sz="4" w:space="0"/>
        <w:bottom w:val="single" w:color="auto" w:sz="4" w:space="0"/>
        <w:right w:val="single" w:color="auto" w:sz="4" w:space="0"/>
      </w:pBdr>
      <w:shd w:val="clear" w:color="auto" w:fill="C0C0C0"/>
      <w:topLinePunct w:val="0"/>
      <w:spacing w:before="100" w:beforeAutospacing="1" w:after="100" w:afterAutospacing="1"/>
      <w:jc w:val="center"/>
      <w:textAlignment w:val="center"/>
    </w:pPr>
    <w:rPr>
      <w:color w:val="000000"/>
      <w:kern w:val="0"/>
      <w:sz w:val="16"/>
      <w:szCs w:val="16"/>
    </w:rPr>
  </w:style>
  <w:style w:type="paragraph" w:customStyle="1" w:styleId="206">
    <w:name w:val="xl47"/>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rFonts w:ascii="宋体" w:hAnsi="宋体"/>
      <w:kern w:val="0"/>
      <w:sz w:val="20"/>
      <w:szCs w:val="20"/>
    </w:rPr>
  </w:style>
  <w:style w:type="paragraph" w:customStyle="1" w:styleId="207">
    <w:name w:val="xl48"/>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kern w:val="0"/>
      <w:sz w:val="20"/>
      <w:szCs w:val="20"/>
    </w:rPr>
  </w:style>
  <w:style w:type="paragraph" w:customStyle="1" w:styleId="208">
    <w:name w:val="xl49"/>
    <w:basedOn w:val="1"/>
    <w:semiHidden/>
    <w:qFormat/>
    <w:uiPriority w:val="0"/>
    <w:pPr>
      <w:widowControl/>
      <w:pBdr>
        <w:left w:val="single" w:color="auto" w:sz="4" w:space="0"/>
        <w:right w:val="single" w:color="auto" w:sz="4" w:space="0"/>
      </w:pBdr>
      <w:topLinePunct w:val="0"/>
      <w:spacing w:before="100" w:beforeAutospacing="1" w:after="100" w:afterAutospacing="1"/>
      <w:jc w:val="center"/>
      <w:textAlignment w:val="center"/>
    </w:pPr>
    <w:rPr>
      <w:kern w:val="0"/>
      <w:sz w:val="16"/>
      <w:szCs w:val="16"/>
    </w:rPr>
  </w:style>
  <w:style w:type="paragraph" w:customStyle="1" w:styleId="209">
    <w:name w:val="xl51"/>
    <w:basedOn w:val="1"/>
    <w:semiHidden/>
    <w:qFormat/>
    <w:uiPriority w:val="0"/>
    <w:pPr>
      <w:widowControl/>
      <w:pBdr>
        <w:top w:val="single" w:color="auto" w:sz="4" w:space="0"/>
        <w:left w:val="single" w:color="auto" w:sz="4" w:space="0"/>
        <w:right w:val="single" w:color="auto" w:sz="4" w:space="0"/>
      </w:pBdr>
      <w:shd w:val="clear" w:color="auto" w:fill="C0C0C0"/>
      <w:topLinePunct w:val="0"/>
      <w:spacing w:before="100" w:beforeAutospacing="1" w:after="100" w:afterAutospacing="1"/>
      <w:jc w:val="center"/>
      <w:textAlignment w:val="center"/>
    </w:pPr>
    <w:rPr>
      <w:kern w:val="0"/>
      <w:sz w:val="16"/>
      <w:szCs w:val="16"/>
    </w:rPr>
  </w:style>
  <w:style w:type="paragraph" w:customStyle="1" w:styleId="210">
    <w:name w:val="xl52"/>
    <w:basedOn w:val="1"/>
    <w:semiHidden/>
    <w:qFormat/>
    <w:uiPriority w:val="0"/>
    <w:pPr>
      <w:widowControl/>
      <w:pBdr>
        <w:left w:val="single" w:color="auto" w:sz="4" w:space="0"/>
        <w:right w:val="single" w:color="auto" w:sz="4" w:space="0"/>
      </w:pBdr>
      <w:shd w:val="clear" w:color="auto" w:fill="C0C0C0"/>
      <w:topLinePunct w:val="0"/>
      <w:spacing w:before="100" w:beforeAutospacing="1" w:after="100" w:afterAutospacing="1"/>
      <w:jc w:val="center"/>
      <w:textAlignment w:val="center"/>
    </w:pPr>
    <w:rPr>
      <w:kern w:val="0"/>
      <w:sz w:val="16"/>
      <w:szCs w:val="16"/>
    </w:rPr>
  </w:style>
  <w:style w:type="paragraph" w:customStyle="1" w:styleId="211">
    <w:name w:val="xl53"/>
    <w:basedOn w:val="1"/>
    <w:semiHidden/>
    <w:qFormat/>
    <w:uiPriority w:val="0"/>
    <w:pPr>
      <w:widowControl/>
      <w:pBdr>
        <w:left w:val="single" w:color="auto" w:sz="4" w:space="0"/>
        <w:bottom w:val="single" w:color="auto" w:sz="4" w:space="0"/>
        <w:right w:val="single" w:color="auto" w:sz="4" w:space="0"/>
      </w:pBdr>
      <w:shd w:val="clear" w:color="auto" w:fill="C0C0C0"/>
      <w:topLinePunct w:val="0"/>
      <w:spacing w:before="100" w:beforeAutospacing="1" w:after="100" w:afterAutospacing="1"/>
      <w:jc w:val="center"/>
      <w:textAlignment w:val="center"/>
    </w:pPr>
    <w:rPr>
      <w:kern w:val="0"/>
      <w:sz w:val="16"/>
      <w:szCs w:val="16"/>
    </w:rPr>
  </w:style>
  <w:style w:type="paragraph" w:customStyle="1" w:styleId="212">
    <w:name w:val="xl54"/>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kern w:val="0"/>
      <w:sz w:val="20"/>
      <w:szCs w:val="20"/>
    </w:rPr>
  </w:style>
  <w:style w:type="paragraph" w:customStyle="1" w:styleId="213">
    <w:name w:val="xl55"/>
    <w:basedOn w:val="1"/>
    <w:semiHidden/>
    <w:qFormat/>
    <w:uiPriority w:val="0"/>
    <w:pPr>
      <w:widowControl/>
      <w:pBdr>
        <w:left w:val="single" w:color="auto" w:sz="4" w:space="0"/>
        <w:bottom w:val="single" w:color="auto" w:sz="4" w:space="0"/>
        <w:right w:val="single" w:color="auto" w:sz="4" w:space="0"/>
      </w:pBdr>
      <w:shd w:val="clear" w:color="auto" w:fill="C0C0C0"/>
      <w:topLinePunct w:val="0"/>
      <w:spacing w:before="100" w:beforeAutospacing="1" w:after="100" w:afterAutospacing="1"/>
      <w:jc w:val="center"/>
      <w:textAlignment w:val="center"/>
    </w:pPr>
    <w:rPr>
      <w:kern w:val="0"/>
      <w:sz w:val="16"/>
      <w:szCs w:val="16"/>
    </w:rPr>
  </w:style>
  <w:style w:type="paragraph" w:customStyle="1" w:styleId="214">
    <w:name w:val="xl56"/>
    <w:basedOn w:val="1"/>
    <w:semiHidden/>
    <w:qFormat/>
    <w:uiPriority w:val="0"/>
    <w:pPr>
      <w:widowControl/>
      <w:pBdr>
        <w:top w:val="single" w:color="auto" w:sz="4" w:space="0"/>
        <w:left w:val="single" w:color="auto" w:sz="4" w:space="0"/>
        <w:bottom w:val="single" w:color="auto" w:sz="4" w:space="0"/>
        <w:right w:val="single" w:color="auto" w:sz="4" w:space="0"/>
      </w:pBdr>
      <w:topLinePunct w:val="0"/>
      <w:spacing w:before="100" w:beforeAutospacing="1" w:after="100" w:afterAutospacing="1"/>
      <w:jc w:val="center"/>
      <w:textAlignment w:val="center"/>
    </w:pPr>
    <w:rPr>
      <w:kern w:val="0"/>
      <w:sz w:val="20"/>
      <w:szCs w:val="20"/>
    </w:rPr>
  </w:style>
  <w:style w:type="paragraph" w:customStyle="1" w:styleId="215">
    <w:name w:val="图形标题"/>
    <w:basedOn w:val="21"/>
    <w:semiHidden/>
    <w:qFormat/>
    <w:uiPriority w:val="0"/>
    <w:pPr>
      <w:spacing w:before="0" w:after="0"/>
      <w:jc w:val="center"/>
    </w:pPr>
    <w:rPr>
      <w:rFonts w:ascii="宋体" w:hAnsi="Plotter" w:eastAsia="宋体"/>
      <w:sz w:val="21"/>
    </w:rPr>
  </w:style>
  <w:style w:type="paragraph" w:customStyle="1" w:styleId="216">
    <w:name w:val="font0"/>
    <w:basedOn w:val="1"/>
    <w:semiHidden/>
    <w:qFormat/>
    <w:uiPriority w:val="0"/>
    <w:pPr>
      <w:widowControl/>
      <w:topLinePunct w:val="0"/>
      <w:spacing w:before="100" w:beforeAutospacing="1" w:after="100" w:afterAutospacing="1"/>
      <w:jc w:val="left"/>
    </w:pPr>
    <w:rPr>
      <w:rFonts w:hint="eastAsia" w:ascii="宋体"/>
      <w:kern w:val="0"/>
      <w:sz w:val="24"/>
    </w:rPr>
  </w:style>
  <w:style w:type="paragraph" w:customStyle="1" w:styleId="217">
    <w:name w:val="p82"/>
    <w:basedOn w:val="1"/>
    <w:semiHidden/>
    <w:qFormat/>
    <w:uiPriority w:val="0"/>
    <w:pPr>
      <w:widowControl/>
      <w:tabs>
        <w:tab w:val="left" w:pos="460"/>
      </w:tabs>
      <w:overflowPunct w:val="0"/>
      <w:topLinePunct w:val="0"/>
      <w:autoSpaceDE w:val="0"/>
      <w:autoSpaceDN w:val="0"/>
      <w:adjustRightInd w:val="0"/>
      <w:spacing w:line="320" w:lineRule="atLeast"/>
      <w:textAlignment w:val="baseline"/>
    </w:pPr>
    <w:rPr>
      <w:kern w:val="0"/>
      <w:sz w:val="24"/>
      <w:szCs w:val="20"/>
      <w:lang w:val="en-GB"/>
    </w:rPr>
  </w:style>
  <w:style w:type="paragraph" w:customStyle="1" w:styleId="218">
    <w:name w:val="样式 样式 报告标题2 + 两端对齐 + 加粗"/>
    <w:basedOn w:val="1"/>
    <w:qFormat/>
    <w:uiPriority w:val="0"/>
    <w:pPr>
      <w:keepNext/>
      <w:keepLines/>
      <w:topLinePunct w:val="0"/>
      <w:spacing w:beforeLines="50"/>
      <w:jc w:val="left"/>
      <w:outlineLvl w:val="0"/>
    </w:pPr>
    <w:rPr>
      <w:rFonts w:ascii="宋体" w:hAnsi="宋体" w:cs="宋体"/>
      <w:b/>
      <w:bCs/>
      <w:sz w:val="24"/>
      <w:szCs w:val="20"/>
    </w:rPr>
  </w:style>
  <w:style w:type="paragraph" w:customStyle="1" w:styleId="219">
    <w:name w:val="样式 报告标题1"/>
    <w:basedOn w:val="1"/>
    <w:qFormat/>
    <w:uiPriority w:val="0"/>
    <w:pPr>
      <w:keepNext/>
      <w:keepLines/>
      <w:topLinePunct w:val="0"/>
      <w:spacing w:before="120" w:line="300" w:lineRule="auto"/>
      <w:outlineLvl w:val="0"/>
    </w:pPr>
    <w:rPr>
      <w:b/>
      <w:bCs/>
      <w:sz w:val="32"/>
      <w:szCs w:val="32"/>
    </w:rPr>
  </w:style>
  <w:style w:type="paragraph" w:customStyle="1" w:styleId="220">
    <w:name w:val="报告标题2"/>
    <w:basedOn w:val="221"/>
    <w:next w:val="39"/>
    <w:link w:val="222"/>
    <w:qFormat/>
    <w:uiPriority w:val="0"/>
    <w:pPr>
      <w:keepNext w:val="0"/>
      <w:keepLines w:val="0"/>
      <w:topLinePunct/>
      <w:adjustRightInd w:val="0"/>
      <w:snapToGrid w:val="0"/>
      <w:spacing w:beforeLines="0" w:line="240" w:lineRule="auto"/>
    </w:pPr>
    <w:rPr>
      <w:szCs w:val="24"/>
    </w:rPr>
  </w:style>
  <w:style w:type="paragraph" w:customStyle="1" w:styleId="221">
    <w:name w:val="报告标题2 +"/>
    <w:basedOn w:val="4"/>
    <w:qFormat/>
    <w:uiPriority w:val="0"/>
    <w:pPr>
      <w:topLinePunct w:val="0"/>
      <w:spacing w:beforeLines="25" w:after="0" w:line="300" w:lineRule="auto"/>
      <w:ind w:firstLine="420"/>
    </w:pPr>
    <w:rPr>
      <w:rFonts w:ascii="Times New Roman" w:hAnsi="Times New Roman" w:eastAsia="宋体" w:cs="Arial"/>
      <w:bCs w:val="0"/>
      <w:sz w:val="21"/>
      <w:szCs w:val="21"/>
    </w:rPr>
  </w:style>
  <w:style w:type="character" w:customStyle="1" w:styleId="222">
    <w:name w:val="报告标题2 Char"/>
    <w:link w:val="220"/>
    <w:qFormat/>
    <w:uiPriority w:val="0"/>
    <w:rPr>
      <w:rFonts w:eastAsia="宋体" w:cs="Arial"/>
      <w:b/>
      <w:kern w:val="2"/>
      <w:sz w:val="21"/>
      <w:szCs w:val="24"/>
      <w:lang w:val="en-US" w:eastAsia="zh-CN" w:bidi="ar-SA"/>
    </w:rPr>
  </w:style>
  <w:style w:type="paragraph" w:customStyle="1" w:styleId="223">
    <w:name w:val="样式 标题 1 + 三号"/>
    <w:basedOn w:val="3"/>
    <w:qFormat/>
    <w:uiPriority w:val="0"/>
    <w:pPr>
      <w:topLinePunct w:val="0"/>
      <w:spacing w:before="120" w:line="300" w:lineRule="auto"/>
      <w:textAlignment w:val="auto"/>
    </w:pPr>
    <w:rPr>
      <w:rFonts w:eastAsia="宋体"/>
      <w:b/>
      <w:bCs/>
      <w:sz w:val="32"/>
      <w:szCs w:val="32"/>
    </w:rPr>
  </w:style>
  <w:style w:type="paragraph" w:customStyle="1" w:styleId="224">
    <w:name w:val="报告标题1"/>
    <w:basedOn w:val="3"/>
    <w:link w:val="225"/>
    <w:qFormat/>
    <w:uiPriority w:val="0"/>
    <w:pPr>
      <w:keepNext w:val="0"/>
      <w:keepLines w:val="0"/>
      <w:snapToGrid w:val="0"/>
      <w:spacing w:line="240" w:lineRule="auto"/>
      <w:textAlignment w:val="auto"/>
    </w:pPr>
    <w:rPr>
      <w:rFonts w:eastAsia="宋体"/>
      <w:b/>
      <w:bCs/>
      <w:kern w:val="2"/>
      <w:sz w:val="24"/>
      <w:szCs w:val="24"/>
    </w:rPr>
  </w:style>
  <w:style w:type="character" w:customStyle="1" w:styleId="225">
    <w:name w:val="报告标题1 Char"/>
    <w:link w:val="224"/>
    <w:qFormat/>
    <w:uiPriority w:val="0"/>
    <w:rPr>
      <w:rFonts w:eastAsia="宋体"/>
      <w:b/>
      <w:bCs/>
      <w:kern w:val="2"/>
      <w:sz w:val="24"/>
      <w:szCs w:val="24"/>
      <w:lang w:val="en-US" w:eastAsia="zh-CN" w:bidi="ar-SA"/>
    </w:rPr>
  </w:style>
  <w:style w:type="paragraph" w:customStyle="1" w:styleId="226">
    <w:name w:val="报告标题3"/>
    <w:basedOn w:val="6"/>
    <w:next w:val="39"/>
    <w:link w:val="227"/>
    <w:qFormat/>
    <w:uiPriority w:val="0"/>
    <w:pPr>
      <w:keepNext w:val="0"/>
      <w:keepLines w:val="0"/>
      <w:spacing w:before="0" w:after="0" w:line="312" w:lineRule="exact"/>
      <w:ind w:firstLine="420"/>
    </w:pPr>
    <w:rPr>
      <w:b w:val="0"/>
      <w:sz w:val="21"/>
      <w:szCs w:val="21"/>
    </w:rPr>
  </w:style>
  <w:style w:type="character" w:customStyle="1" w:styleId="227">
    <w:name w:val="报告标题3 Char"/>
    <w:link w:val="226"/>
    <w:qFormat/>
    <w:uiPriority w:val="0"/>
    <w:rPr>
      <w:rFonts w:eastAsia="宋体"/>
      <w:bCs/>
      <w:kern w:val="2"/>
      <w:sz w:val="21"/>
      <w:szCs w:val="21"/>
      <w:lang w:val="en-US" w:eastAsia="zh-CN" w:bidi="ar-SA"/>
    </w:rPr>
  </w:style>
  <w:style w:type="paragraph" w:customStyle="1" w:styleId="228">
    <w:name w:val="目录"/>
    <w:basedOn w:val="72"/>
    <w:next w:val="72"/>
    <w:qFormat/>
    <w:uiPriority w:val="0"/>
  </w:style>
  <w:style w:type="paragraph" w:customStyle="1" w:styleId="229">
    <w:name w:val="报告标题"/>
    <w:basedOn w:val="224"/>
    <w:link w:val="230"/>
    <w:qFormat/>
    <w:uiPriority w:val="0"/>
    <w:pPr>
      <w:spacing w:before="100" w:beforeAutospacing="1" w:after="100" w:afterAutospacing="1"/>
      <w:jc w:val="center"/>
    </w:pPr>
    <w:rPr>
      <w:rFonts w:ascii="宋体" w:hAnsi="宋体"/>
      <w:kern w:val="0"/>
    </w:rPr>
  </w:style>
  <w:style w:type="character" w:customStyle="1" w:styleId="230">
    <w:name w:val="报告标题 Char"/>
    <w:link w:val="229"/>
    <w:qFormat/>
    <w:uiPriority w:val="0"/>
    <w:rPr>
      <w:rFonts w:ascii="宋体" w:hAnsi="宋体" w:eastAsia="宋体"/>
      <w:b/>
      <w:bCs/>
      <w:sz w:val="24"/>
      <w:szCs w:val="24"/>
      <w:lang w:val="en-US" w:eastAsia="zh-CN" w:bidi="ar-SA"/>
    </w:rPr>
  </w:style>
  <w:style w:type="paragraph" w:customStyle="1" w:styleId="23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2">
    <w:name w:val="样式 标题 1 + 加粗 Char"/>
    <w:link w:val="233"/>
    <w:qFormat/>
    <w:uiPriority w:val="0"/>
    <w:rPr>
      <w:rFonts w:ascii="汉仪大宋简" w:eastAsia="黑体"/>
      <w:b/>
      <w:bCs/>
      <w:kern w:val="44"/>
      <w:sz w:val="28"/>
      <w:szCs w:val="28"/>
      <w:lang w:val="en-US" w:eastAsia="zh-CN" w:bidi="ar-SA"/>
    </w:rPr>
  </w:style>
  <w:style w:type="paragraph" w:customStyle="1" w:styleId="233">
    <w:name w:val="样式 标题 1 + 加粗"/>
    <w:basedOn w:val="3"/>
    <w:link w:val="232"/>
    <w:qFormat/>
    <w:uiPriority w:val="0"/>
    <w:pPr>
      <w:topLinePunct w:val="0"/>
      <w:adjustRightInd w:val="0"/>
      <w:spacing w:beforeLines="100" w:afterLines="100" w:line="240" w:lineRule="auto"/>
      <w:ind w:firstLine="0"/>
      <w:textAlignment w:val="auto"/>
    </w:pPr>
    <w:rPr>
      <w:rFonts w:ascii="汉仪大宋简" w:eastAsia="黑体"/>
      <w:b/>
      <w:bCs/>
      <w:sz w:val="28"/>
      <w:szCs w:val="28"/>
    </w:rPr>
  </w:style>
  <w:style w:type="character" w:customStyle="1" w:styleId="234">
    <w:name w:val="Char Char8"/>
    <w:qFormat/>
    <w:uiPriority w:val="0"/>
    <w:rPr>
      <w:rFonts w:ascii="汉仪大宋简" w:eastAsia="汉仪大宋简"/>
      <w:kern w:val="28"/>
      <w:sz w:val="22"/>
      <w:szCs w:val="26"/>
      <w:lang w:val="en-US" w:eastAsia="zh-CN" w:bidi="ar-SA"/>
    </w:rPr>
  </w:style>
  <w:style w:type="character" w:customStyle="1" w:styleId="235">
    <w:name w:val="节标题 1.1 Char"/>
    <w:qFormat/>
    <w:uiPriority w:val="0"/>
    <w:rPr>
      <w:rFonts w:eastAsia="黑体"/>
      <w:bCs/>
      <w:kern w:val="2"/>
      <w:sz w:val="21"/>
      <w:szCs w:val="21"/>
      <w:lang w:val="en-US" w:eastAsia="zh-CN" w:bidi="ar-SA"/>
    </w:rPr>
  </w:style>
  <w:style w:type="paragraph" w:customStyle="1" w:styleId="236">
    <w:name w:val="jl 正文"/>
    <w:basedOn w:val="1"/>
    <w:semiHidden/>
    <w:qFormat/>
    <w:uiPriority w:val="0"/>
    <w:pPr>
      <w:topLinePunct w:val="0"/>
      <w:autoSpaceDE w:val="0"/>
      <w:autoSpaceDN w:val="0"/>
      <w:adjustRightInd w:val="0"/>
      <w:ind w:firstLine="200" w:firstLineChars="200"/>
      <w:jc w:val="left"/>
      <w:textAlignment w:val="baseline"/>
    </w:pPr>
    <w:rPr>
      <w:rFonts w:ascii="宋体"/>
      <w:kern w:val="0"/>
      <w:sz w:val="24"/>
    </w:rPr>
  </w:style>
  <w:style w:type="paragraph" w:customStyle="1" w:styleId="237">
    <w:name w:val="标题 3 + 小四 段前: 0 磅 段后: 0 磅 行距: 1.5 倍行距"/>
    <w:basedOn w:val="6"/>
    <w:next w:val="6"/>
    <w:qFormat/>
    <w:uiPriority w:val="0"/>
    <w:pPr>
      <w:topLinePunct w:val="0"/>
      <w:spacing w:before="0" w:after="0" w:line="360" w:lineRule="auto"/>
      <w:jc w:val="center"/>
    </w:pPr>
    <w:rPr>
      <w:rFonts w:eastAsia="黑体" w:cs="宋体"/>
      <w:b w:val="0"/>
      <w:sz w:val="24"/>
      <w:szCs w:val="20"/>
    </w:rPr>
  </w:style>
  <w:style w:type="paragraph" w:customStyle="1" w:styleId="238">
    <w:name w:val="Char Char Char Char Char Char Char"/>
    <w:basedOn w:val="1"/>
    <w:semiHidden/>
    <w:qFormat/>
    <w:uiPriority w:val="0"/>
    <w:pPr>
      <w:topLinePunct w:val="0"/>
    </w:pPr>
  </w:style>
  <w:style w:type="paragraph" w:customStyle="1" w:styleId="239">
    <w:name w:val="jl 正文 Char Char"/>
    <w:basedOn w:val="1"/>
    <w:link w:val="240"/>
    <w:semiHidden/>
    <w:qFormat/>
    <w:uiPriority w:val="0"/>
    <w:pPr>
      <w:topLinePunct w:val="0"/>
      <w:autoSpaceDE w:val="0"/>
      <w:autoSpaceDN w:val="0"/>
      <w:adjustRightInd w:val="0"/>
      <w:ind w:firstLine="200" w:firstLineChars="200"/>
      <w:jc w:val="left"/>
      <w:textAlignment w:val="baseline"/>
    </w:pPr>
    <w:rPr>
      <w:rFonts w:ascii="宋体"/>
      <w:sz w:val="24"/>
    </w:rPr>
  </w:style>
  <w:style w:type="character" w:customStyle="1" w:styleId="240">
    <w:name w:val="jl 正文 Char Char Char"/>
    <w:link w:val="239"/>
    <w:qFormat/>
    <w:uiPriority w:val="0"/>
    <w:rPr>
      <w:rFonts w:ascii="宋体" w:eastAsia="宋体"/>
      <w:kern w:val="2"/>
      <w:sz w:val="24"/>
      <w:szCs w:val="21"/>
      <w:lang w:val="en-US" w:eastAsia="zh-CN" w:bidi="ar-SA"/>
    </w:rPr>
  </w:style>
  <w:style w:type="paragraph" w:customStyle="1" w:styleId="241">
    <w:name w:val="jl 三级 Char"/>
    <w:basedOn w:val="1"/>
    <w:link w:val="242"/>
    <w:semiHidden/>
    <w:qFormat/>
    <w:uiPriority w:val="0"/>
    <w:pPr>
      <w:topLinePunct w:val="0"/>
      <w:autoSpaceDE w:val="0"/>
      <w:autoSpaceDN w:val="0"/>
      <w:adjustRightInd w:val="0"/>
      <w:spacing w:beforeLines="50" w:afterLines="50"/>
      <w:ind w:firstLine="480" w:firstLineChars="200"/>
      <w:jc w:val="left"/>
      <w:textAlignment w:val="baseline"/>
      <w:outlineLvl w:val="2"/>
    </w:pPr>
    <w:rPr>
      <w:rFonts w:ascii="宋体" w:hAnsi="宋体"/>
      <w:b/>
      <w:color w:val="000000"/>
      <w:sz w:val="24"/>
    </w:rPr>
  </w:style>
  <w:style w:type="character" w:customStyle="1" w:styleId="242">
    <w:name w:val="jl 三级 Char Char"/>
    <w:link w:val="241"/>
    <w:qFormat/>
    <w:uiPriority w:val="0"/>
    <w:rPr>
      <w:rFonts w:ascii="宋体" w:hAnsi="宋体" w:eastAsia="宋体"/>
      <w:b/>
      <w:color w:val="000000"/>
      <w:kern w:val="2"/>
      <w:sz w:val="24"/>
      <w:szCs w:val="21"/>
      <w:lang w:val="en-US" w:eastAsia="zh-CN" w:bidi="ar-SA"/>
    </w:rPr>
  </w:style>
  <w:style w:type="paragraph" w:customStyle="1" w:styleId="243">
    <w:name w:val="样式 标题 2 + 黑体 段前: 10.25 磅 段后: 10.25 磅 行距: 单倍行距"/>
    <w:basedOn w:val="4"/>
    <w:semiHidden/>
    <w:qFormat/>
    <w:uiPriority w:val="0"/>
    <w:pPr>
      <w:topLinePunct w:val="0"/>
      <w:adjustRightInd w:val="0"/>
      <w:spacing w:beforeLines="50" w:afterLines="50" w:line="240" w:lineRule="auto"/>
      <w:ind w:firstLine="420"/>
      <w:jc w:val="left"/>
      <w:textAlignment w:val="baseline"/>
    </w:pPr>
    <w:rPr>
      <w:rFonts w:ascii="黑体" w:hAnsi="黑体"/>
      <w:bCs w:val="0"/>
      <w:kern w:val="0"/>
      <w:sz w:val="24"/>
      <w:szCs w:val="20"/>
    </w:rPr>
  </w:style>
  <w:style w:type="paragraph" w:customStyle="1" w:styleId="244">
    <w:name w:val="样式 首行缩进:  0 厘米 行距: 单倍行距"/>
    <w:basedOn w:val="1"/>
    <w:semiHidden/>
    <w:qFormat/>
    <w:uiPriority w:val="0"/>
    <w:pPr>
      <w:topLinePunct w:val="0"/>
      <w:adjustRightInd w:val="0"/>
      <w:textAlignment w:val="baseline"/>
    </w:pPr>
    <w:rPr>
      <w:kern w:val="0"/>
      <w:szCs w:val="20"/>
    </w:rPr>
  </w:style>
  <w:style w:type="paragraph" w:customStyle="1" w:styleId="245">
    <w:name w:val="Char Char Char"/>
    <w:basedOn w:val="1"/>
    <w:qFormat/>
    <w:uiPriority w:val="0"/>
    <w:pPr>
      <w:topLinePunct w:val="0"/>
    </w:pPr>
  </w:style>
  <w:style w:type="character" w:customStyle="1" w:styleId="246">
    <w:name w:val="章标题 1 Char"/>
    <w:qFormat/>
    <w:uiPriority w:val="0"/>
    <w:rPr>
      <w:rFonts w:eastAsia="汉仪大宋简"/>
      <w:kern w:val="44"/>
      <w:sz w:val="22"/>
      <w:szCs w:val="22"/>
      <w:lang w:val="en-US" w:eastAsia="zh-CN" w:bidi="ar-SA"/>
    </w:rPr>
  </w:style>
  <w:style w:type="paragraph" w:customStyle="1" w:styleId="247">
    <w:name w:val="表文"/>
    <w:basedOn w:val="1"/>
    <w:qFormat/>
    <w:uiPriority w:val="0"/>
    <w:pPr>
      <w:spacing w:before="40" w:after="40"/>
    </w:pPr>
    <w:rPr>
      <w:sz w:val="18"/>
      <w:szCs w:val="18"/>
    </w:rPr>
  </w:style>
  <w:style w:type="character" w:customStyle="1" w:styleId="248">
    <w:name w:val="Char Char16"/>
    <w:qFormat/>
    <w:uiPriority w:val="0"/>
    <w:rPr>
      <w:rFonts w:ascii="Arial" w:hAnsi="Arial" w:eastAsia="黑体"/>
      <w:b/>
      <w:bCs/>
      <w:kern w:val="2"/>
      <w:sz w:val="32"/>
      <w:szCs w:val="32"/>
      <w:lang w:val="en-US" w:eastAsia="zh-CN" w:bidi="ar-SA"/>
    </w:rPr>
  </w:style>
  <w:style w:type="paragraph" w:customStyle="1" w:styleId="249">
    <w:name w:val="附录"/>
    <w:basedOn w:val="3"/>
    <w:qFormat/>
    <w:uiPriority w:val="0"/>
    <w:pPr>
      <w:spacing w:line="960" w:lineRule="auto"/>
      <w:jc w:val="center"/>
    </w:pPr>
    <w:rPr>
      <w:rFonts w:eastAsia="黑体"/>
      <w:kern w:val="2"/>
      <w:sz w:val="28"/>
      <w:szCs w:val="28"/>
    </w:rPr>
  </w:style>
  <w:style w:type="paragraph" w:customStyle="1" w:styleId="250">
    <w:name w:val="样式7"/>
    <w:basedOn w:val="1"/>
    <w:qFormat/>
    <w:uiPriority w:val="0"/>
    <w:pPr>
      <w:topLinePunct w:val="0"/>
      <w:snapToGrid w:val="0"/>
    </w:pPr>
  </w:style>
  <w:style w:type="paragraph" w:customStyle="1" w:styleId="251">
    <w:name w:val="样式 标题 3 + 字距调整四号"/>
    <w:basedOn w:val="6"/>
    <w:qFormat/>
    <w:uiPriority w:val="0"/>
    <w:pPr>
      <w:topLinePunct w:val="0"/>
      <w:spacing w:before="0" w:after="0" w:line="320" w:lineRule="exact"/>
      <w:jc w:val="center"/>
    </w:pPr>
    <w:rPr>
      <w:b w:val="0"/>
      <w:kern w:val="28"/>
      <w:sz w:val="21"/>
      <w:szCs w:val="20"/>
    </w:rPr>
  </w:style>
  <w:style w:type="character" w:customStyle="1" w:styleId="252">
    <w:name w:val="页眉 Char"/>
    <w:qFormat/>
    <w:uiPriority w:val="0"/>
    <w:rPr>
      <w:rFonts w:eastAsia="宋体"/>
      <w:kern w:val="2"/>
      <w:sz w:val="18"/>
      <w:lang w:val="en-US" w:eastAsia="zh-CN" w:bidi="ar-SA"/>
    </w:rPr>
  </w:style>
  <w:style w:type="character" w:customStyle="1" w:styleId="253">
    <w:name w:val="标题 3 Char1"/>
    <w:qFormat/>
    <w:uiPriority w:val="0"/>
    <w:rPr>
      <w:rFonts w:eastAsia="宋体"/>
      <w:b/>
      <w:kern w:val="2"/>
      <w:sz w:val="28"/>
      <w:lang w:val="en-US" w:eastAsia="zh-CN" w:bidi="ar-SA"/>
    </w:rPr>
  </w:style>
  <w:style w:type="character" w:customStyle="1" w:styleId="254">
    <w:name w:val="页脚 Char"/>
    <w:qFormat/>
    <w:uiPriority w:val="99"/>
    <w:rPr>
      <w:rFonts w:eastAsia="宋体"/>
      <w:kern w:val="2"/>
      <w:sz w:val="18"/>
      <w:lang w:val="en-US" w:eastAsia="zh-CN" w:bidi="ar-SA"/>
    </w:rPr>
  </w:style>
  <w:style w:type="character" w:customStyle="1" w:styleId="255">
    <w:name w:val="标题 Char"/>
    <w:qFormat/>
    <w:uiPriority w:val="0"/>
    <w:rPr>
      <w:rFonts w:ascii="Arial" w:hAnsi="Arial" w:eastAsia="宋体" w:cs="Arial"/>
      <w:b/>
      <w:bCs/>
      <w:kern w:val="2"/>
      <w:sz w:val="32"/>
      <w:szCs w:val="32"/>
      <w:lang w:val="en-US" w:eastAsia="zh-CN" w:bidi="ar-SA"/>
    </w:rPr>
  </w:style>
  <w:style w:type="character" w:customStyle="1" w:styleId="256">
    <w:name w:val="正文文本 2 Char"/>
    <w:qFormat/>
    <w:uiPriority w:val="0"/>
    <w:rPr>
      <w:rFonts w:eastAsia="宋体"/>
      <w:kern w:val="2"/>
      <w:sz w:val="21"/>
      <w:szCs w:val="24"/>
      <w:lang w:val="en-US" w:eastAsia="zh-CN" w:bidi="ar-SA"/>
    </w:rPr>
  </w:style>
  <w:style w:type="character" w:customStyle="1" w:styleId="257">
    <w:name w:val="列表项目符号 Char"/>
    <w:qFormat/>
    <w:uiPriority w:val="0"/>
    <w:rPr>
      <w:rFonts w:eastAsia="宋体"/>
      <w:kern w:val="2"/>
      <w:sz w:val="21"/>
      <w:szCs w:val="24"/>
      <w:lang w:val="en-US" w:eastAsia="zh-CN" w:bidi="ar-SA"/>
    </w:rPr>
  </w:style>
  <w:style w:type="paragraph" w:customStyle="1" w:styleId="258">
    <w:name w:val="样式 标题 1 +"/>
    <w:basedOn w:val="3"/>
    <w:qFormat/>
    <w:uiPriority w:val="0"/>
    <w:pPr>
      <w:keepLines w:val="0"/>
      <w:widowControl/>
      <w:overflowPunct w:val="0"/>
      <w:topLinePunct w:val="0"/>
      <w:autoSpaceDE w:val="0"/>
      <w:autoSpaceDN w:val="0"/>
      <w:adjustRightInd w:val="0"/>
      <w:spacing w:line="320" w:lineRule="exact"/>
      <w:jc w:val="left"/>
    </w:pPr>
    <w:rPr>
      <w:rFonts w:ascii="汉仪大宋简" w:eastAsia="黑体"/>
      <w:kern w:val="28"/>
      <w:sz w:val="28"/>
      <w:szCs w:val="26"/>
    </w:rPr>
  </w:style>
  <w:style w:type="paragraph" w:customStyle="1" w:styleId="259">
    <w:name w:val="样式 标题 2 + 字距调整四号"/>
    <w:basedOn w:val="4"/>
    <w:qFormat/>
    <w:uiPriority w:val="0"/>
    <w:pPr>
      <w:keepLines w:val="0"/>
      <w:widowControl/>
      <w:overflowPunct w:val="0"/>
      <w:topLinePunct w:val="0"/>
      <w:autoSpaceDE w:val="0"/>
      <w:autoSpaceDN w:val="0"/>
      <w:adjustRightInd w:val="0"/>
      <w:spacing w:before="0" w:after="0" w:line="320" w:lineRule="exact"/>
      <w:ind w:firstLine="420"/>
      <w:textAlignment w:val="baseline"/>
    </w:pPr>
    <w:rPr>
      <w:rFonts w:ascii="Times New Roman" w:hAnsi="Times New Roman"/>
      <w:b w:val="0"/>
      <w:bCs w:val="0"/>
      <w:kern w:val="28"/>
      <w:sz w:val="21"/>
      <w:szCs w:val="21"/>
    </w:rPr>
  </w:style>
  <w:style w:type="paragraph" w:customStyle="1" w:styleId="260">
    <w:name w:val="样式 样式3 +"/>
    <w:basedOn w:val="143"/>
    <w:link w:val="262"/>
    <w:qFormat/>
    <w:uiPriority w:val="0"/>
    <w:rPr>
      <w:kern w:val="0"/>
    </w:rPr>
  </w:style>
  <w:style w:type="character" w:customStyle="1" w:styleId="261">
    <w:name w:val="样式3 Char"/>
    <w:link w:val="143"/>
    <w:qFormat/>
    <w:uiPriority w:val="0"/>
    <w:rPr>
      <w:rFonts w:ascii="EU-F1" w:eastAsia="黑体"/>
      <w:color w:val="000000"/>
      <w:kern w:val="2"/>
      <w:sz w:val="21"/>
      <w:szCs w:val="21"/>
      <w:lang w:val="en-US" w:eastAsia="zh-CN" w:bidi="ar-SA"/>
    </w:rPr>
  </w:style>
  <w:style w:type="character" w:customStyle="1" w:styleId="262">
    <w:name w:val="样式 样式3 + Char"/>
    <w:basedOn w:val="261"/>
    <w:link w:val="260"/>
    <w:qFormat/>
    <w:uiPriority w:val="0"/>
    <w:rPr>
      <w:rFonts w:ascii="EU-F1" w:eastAsia="黑体"/>
      <w:color w:val="000000"/>
      <w:kern w:val="2"/>
      <w:sz w:val="21"/>
      <w:szCs w:val="21"/>
      <w:lang w:val="en-US" w:eastAsia="zh-CN" w:bidi="ar-SA"/>
    </w:rPr>
  </w:style>
  <w:style w:type="paragraph" w:customStyle="1" w:styleId="263">
    <w:name w:val="修订1"/>
    <w:hidden/>
    <w:semiHidden/>
    <w:qFormat/>
    <w:uiPriority w:val="0"/>
    <w:rPr>
      <w:rFonts w:ascii="Times New Roman" w:hAnsi="Times New Roman" w:eastAsia="宋体" w:cs="Times New Roman"/>
      <w:kern w:val="2"/>
      <w:sz w:val="21"/>
      <w:szCs w:val="24"/>
      <w:lang w:val="en-US" w:eastAsia="zh-CN" w:bidi="ar-SA"/>
    </w:rPr>
  </w:style>
  <w:style w:type="character" w:customStyle="1" w:styleId="264">
    <w:name w:val="Char Char17"/>
    <w:qFormat/>
    <w:uiPriority w:val="0"/>
    <w:rPr>
      <w:rFonts w:ascii="宋体" w:hAnsi="Courier New" w:eastAsia="宋体" w:cs="Courier New"/>
      <w:kern w:val="2"/>
      <w:sz w:val="21"/>
      <w:szCs w:val="21"/>
      <w:lang w:val="en-US" w:eastAsia="zh-CN" w:bidi="ar-SA"/>
    </w:rPr>
  </w:style>
  <w:style w:type="paragraph" w:customStyle="1" w:styleId="265">
    <w:name w:val="Char3"/>
    <w:basedOn w:val="1"/>
    <w:qFormat/>
    <w:uiPriority w:val="0"/>
    <w:pPr>
      <w:topLinePunct w:val="0"/>
    </w:pPr>
    <w:rPr>
      <w:szCs w:val="20"/>
    </w:rPr>
  </w:style>
  <w:style w:type="paragraph" w:customStyle="1" w:styleId="266">
    <w:name w:val="样式 2"/>
    <w:basedOn w:val="4"/>
    <w:qFormat/>
    <w:uiPriority w:val="0"/>
    <w:pPr>
      <w:keepNext w:val="0"/>
      <w:keepLines w:val="0"/>
      <w:spacing w:before="0" w:after="0" w:line="312" w:lineRule="exact"/>
    </w:pPr>
    <w:rPr>
      <w:rFonts w:ascii="EU-F1" w:hAnsi="Times New Roman"/>
      <w:b w:val="0"/>
      <w:sz w:val="21"/>
      <w:szCs w:val="21"/>
    </w:rPr>
  </w:style>
  <w:style w:type="paragraph" w:customStyle="1" w:styleId="267">
    <w:name w:val="标题 3 + 四 段前: 0 磅 段后: 0 磅 行距: 1.5 倍行距"/>
    <w:basedOn w:val="6"/>
    <w:next w:val="6"/>
    <w:link w:val="268"/>
    <w:qFormat/>
    <w:uiPriority w:val="0"/>
    <w:pPr>
      <w:adjustRightInd w:val="0"/>
      <w:spacing w:before="0" w:after="0" w:line="360" w:lineRule="auto"/>
      <w:textAlignment w:val="baseline"/>
    </w:pPr>
    <w:rPr>
      <w:rFonts w:cs="宋体"/>
      <w:sz w:val="28"/>
      <w:szCs w:val="28"/>
    </w:rPr>
  </w:style>
  <w:style w:type="character" w:customStyle="1" w:styleId="268">
    <w:name w:val="标题 3 + 四 段前: 0 磅 段后: 0 磅 行距: 1.5 倍行距 Char"/>
    <w:link w:val="267"/>
    <w:qFormat/>
    <w:uiPriority w:val="0"/>
    <w:rPr>
      <w:rFonts w:eastAsia="宋体" w:cs="宋体"/>
      <w:b/>
      <w:bCs/>
      <w:kern w:val="2"/>
      <w:sz w:val="28"/>
      <w:szCs w:val="28"/>
      <w:lang w:val="en-US" w:eastAsia="zh-CN" w:bidi="ar-SA"/>
    </w:rPr>
  </w:style>
  <w:style w:type="paragraph" w:customStyle="1" w:styleId="269">
    <w:name w:val="附录一"/>
    <w:basedOn w:val="39"/>
    <w:link w:val="279"/>
    <w:qFormat/>
    <w:uiPriority w:val="0"/>
    <w:pPr>
      <w:topLinePunct/>
      <w:adjustRightInd w:val="0"/>
      <w:spacing w:line="480" w:lineRule="auto"/>
      <w:textAlignment w:val="baseline"/>
    </w:pPr>
    <w:rPr>
      <w:rFonts w:ascii="EU-F1" w:hAnsi="Times New Roman" w:eastAsia="黑体"/>
      <w:szCs w:val="21"/>
    </w:rPr>
  </w:style>
  <w:style w:type="paragraph" w:customStyle="1" w:styleId="270">
    <w:name w:val="附录二"/>
    <w:basedOn w:val="39"/>
    <w:qFormat/>
    <w:uiPriority w:val="0"/>
    <w:pPr>
      <w:topLinePunct/>
      <w:adjustRightInd w:val="0"/>
      <w:spacing w:line="312" w:lineRule="exact"/>
      <w:textAlignment w:val="baseline"/>
    </w:pPr>
    <w:rPr>
      <w:rFonts w:ascii="EU-F1" w:hAnsi="Times New Roman" w:eastAsia="黑体"/>
      <w:kern w:val="21"/>
      <w:szCs w:val="21"/>
    </w:rPr>
  </w:style>
  <w:style w:type="character" w:customStyle="1" w:styleId="271">
    <w:name w:val="图说 Char"/>
    <w:link w:val="154"/>
    <w:qFormat/>
    <w:uiPriority w:val="0"/>
    <w:rPr>
      <w:rFonts w:eastAsia="宋体" w:cs="宋体"/>
      <w:kern w:val="2"/>
      <w:sz w:val="18"/>
      <w:lang w:val="en-US" w:eastAsia="zh-CN" w:bidi="ar-SA"/>
    </w:rPr>
  </w:style>
  <w:style w:type="paragraph" w:customStyle="1" w:styleId="272">
    <w:name w:val="2z"/>
    <w:basedOn w:val="270"/>
    <w:link w:val="277"/>
    <w:qFormat/>
    <w:uiPriority w:val="0"/>
    <w:pPr>
      <w:spacing w:line="480" w:lineRule="auto"/>
    </w:pPr>
  </w:style>
  <w:style w:type="paragraph" w:customStyle="1" w:styleId="273">
    <w:name w:val="3z"/>
    <w:basedOn w:val="270"/>
    <w:link w:val="278"/>
    <w:qFormat/>
    <w:uiPriority w:val="0"/>
    <w:rPr>
      <w:kern w:val="2"/>
    </w:rPr>
  </w:style>
  <w:style w:type="paragraph" w:customStyle="1" w:styleId="274">
    <w:name w:val="z"/>
    <w:basedOn w:val="1"/>
    <w:link w:val="275"/>
    <w:qFormat/>
    <w:uiPriority w:val="0"/>
    <w:pPr>
      <w:overflowPunct w:val="0"/>
      <w:adjustRightInd w:val="0"/>
      <w:spacing w:line="312" w:lineRule="exact"/>
      <w:textAlignment w:val="baseline"/>
    </w:pPr>
    <w:rPr>
      <w:rFonts w:ascii="EU-F1" w:eastAsia="EU-F1"/>
      <w:bCs/>
      <w:szCs w:val="24"/>
    </w:rPr>
  </w:style>
  <w:style w:type="character" w:customStyle="1" w:styleId="275">
    <w:name w:val="z Char"/>
    <w:link w:val="274"/>
    <w:qFormat/>
    <w:uiPriority w:val="0"/>
    <w:rPr>
      <w:rFonts w:ascii="EU-F1" w:eastAsia="EU-F1"/>
      <w:bCs/>
      <w:kern w:val="2"/>
      <w:sz w:val="21"/>
      <w:szCs w:val="24"/>
      <w:lang w:val="en-US" w:eastAsia="zh-CN" w:bidi="ar-SA"/>
    </w:rPr>
  </w:style>
  <w:style w:type="paragraph" w:customStyle="1" w:styleId="276">
    <w:name w:val="b"/>
    <w:basedOn w:val="152"/>
    <w:qFormat/>
    <w:uiPriority w:val="0"/>
    <w:pPr>
      <w:tabs>
        <w:tab w:val="center" w:pos="4706"/>
        <w:tab w:val="right" w:pos="9044"/>
      </w:tabs>
      <w:adjustRightInd w:val="0"/>
      <w:textAlignment w:val="baseline"/>
    </w:pPr>
    <w:rPr>
      <w:kern w:val="0"/>
    </w:rPr>
  </w:style>
  <w:style w:type="character" w:customStyle="1" w:styleId="277">
    <w:name w:val="2z Char"/>
    <w:link w:val="272"/>
    <w:qFormat/>
    <w:uiPriority w:val="0"/>
    <w:rPr>
      <w:rFonts w:ascii="EU-F1" w:eastAsia="黑体"/>
      <w:kern w:val="21"/>
      <w:sz w:val="21"/>
      <w:szCs w:val="21"/>
      <w:lang w:val="en-US" w:eastAsia="zh-CN" w:bidi="ar-SA"/>
    </w:rPr>
  </w:style>
  <w:style w:type="character" w:customStyle="1" w:styleId="278">
    <w:name w:val="3z Char"/>
    <w:link w:val="273"/>
    <w:qFormat/>
    <w:uiPriority w:val="0"/>
    <w:rPr>
      <w:rFonts w:ascii="EU-F1" w:eastAsia="黑体"/>
      <w:kern w:val="2"/>
      <w:sz w:val="21"/>
      <w:szCs w:val="21"/>
      <w:lang w:val="en-US" w:eastAsia="zh-CN" w:bidi="ar-SA"/>
    </w:rPr>
  </w:style>
  <w:style w:type="character" w:customStyle="1" w:styleId="279">
    <w:name w:val="附录一 Char"/>
    <w:link w:val="269"/>
    <w:qFormat/>
    <w:uiPriority w:val="0"/>
    <w:rPr>
      <w:rFonts w:ascii="EU-F1" w:eastAsia="黑体"/>
      <w:kern w:val="2"/>
      <w:sz w:val="21"/>
      <w:szCs w:val="21"/>
      <w:lang w:val="en-US" w:eastAsia="zh-CN" w:bidi="ar-SA"/>
    </w:rPr>
  </w:style>
  <w:style w:type="paragraph" w:customStyle="1" w:styleId="280">
    <w:name w:val="B"/>
    <w:basedOn w:val="152"/>
    <w:qFormat/>
    <w:uiPriority w:val="0"/>
    <w:pPr>
      <w:tabs>
        <w:tab w:val="center" w:pos="4706"/>
        <w:tab w:val="right" w:pos="9044"/>
      </w:tabs>
      <w:adjustRightInd w:val="0"/>
      <w:textAlignment w:val="baseline"/>
    </w:pPr>
    <w:rPr>
      <w:rFonts w:ascii="E-F1"/>
    </w:rPr>
  </w:style>
  <w:style w:type="character" w:customStyle="1" w:styleId="281">
    <w:name w:val="一级标题 Char"/>
    <w:link w:val="282"/>
    <w:qFormat/>
    <w:uiPriority w:val="0"/>
    <w:rPr>
      <w:rFonts w:ascii="隶书" w:eastAsia="黑体"/>
      <w:b/>
      <w:kern w:val="2"/>
      <w:sz w:val="30"/>
      <w:lang w:val="en-US" w:eastAsia="zh-CN" w:bidi="ar-SA"/>
    </w:rPr>
  </w:style>
  <w:style w:type="paragraph" w:customStyle="1" w:styleId="282">
    <w:name w:val="一级标题"/>
    <w:basedOn w:val="3"/>
    <w:link w:val="281"/>
    <w:qFormat/>
    <w:uiPriority w:val="0"/>
    <w:pPr>
      <w:keepLines w:val="0"/>
      <w:tabs>
        <w:tab w:val="left" w:pos="6840"/>
      </w:tabs>
      <w:adjustRightInd w:val="0"/>
      <w:spacing w:beforeLines="100" w:afterLines="150" w:line="240" w:lineRule="auto"/>
      <w:ind w:firstLine="0"/>
      <w:jc w:val="center"/>
      <w:textAlignment w:val="auto"/>
    </w:pPr>
    <w:rPr>
      <w:rFonts w:ascii="隶书" w:eastAsia="黑体"/>
      <w:b/>
      <w:kern w:val="2"/>
      <w:sz w:val="30"/>
      <w:szCs w:val="20"/>
    </w:rPr>
  </w:style>
  <w:style w:type="character" w:customStyle="1" w:styleId="283">
    <w:name w:val="三级标题 Char"/>
    <w:link w:val="284"/>
    <w:qFormat/>
    <w:uiPriority w:val="0"/>
    <w:rPr>
      <w:rFonts w:eastAsia="宋体"/>
      <w:b/>
      <w:sz w:val="24"/>
      <w:lang w:val="en-US" w:eastAsia="zh-CN" w:bidi="ar-SA"/>
    </w:rPr>
  </w:style>
  <w:style w:type="paragraph" w:customStyle="1" w:styleId="284">
    <w:name w:val="三级标题"/>
    <w:basedOn w:val="6"/>
    <w:link w:val="283"/>
    <w:qFormat/>
    <w:uiPriority w:val="0"/>
    <w:pPr>
      <w:adjustRightInd w:val="0"/>
      <w:spacing w:beforeLines="50" w:afterLines="50" w:line="240" w:lineRule="auto"/>
      <w:ind w:firstLine="200" w:firstLineChars="200"/>
      <w:jc w:val="left"/>
      <w:textAlignment w:val="baseline"/>
    </w:pPr>
    <w:rPr>
      <w:bCs w:val="0"/>
      <w:kern w:val="0"/>
      <w:sz w:val="24"/>
      <w:szCs w:val="20"/>
    </w:rPr>
  </w:style>
  <w:style w:type="paragraph" w:customStyle="1" w:styleId="285">
    <w:name w:val="二级标题"/>
    <w:basedOn w:val="4"/>
    <w:qFormat/>
    <w:uiPriority w:val="0"/>
    <w:pPr>
      <w:tabs>
        <w:tab w:val="left" w:pos="6840"/>
      </w:tabs>
      <w:autoSpaceDE w:val="0"/>
      <w:autoSpaceDN w:val="0"/>
      <w:adjustRightInd w:val="0"/>
      <w:spacing w:beforeLines="100" w:afterLines="50" w:line="240" w:lineRule="auto"/>
      <w:ind w:firstLine="200" w:firstLineChars="200"/>
      <w:textAlignment w:val="baseline"/>
    </w:pPr>
    <w:rPr>
      <w:bCs w:val="0"/>
      <w:sz w:val="24"/>
      <w:szCs w:val="20"/>
    </w:rPr>
  </w:style>
  <w:style w:type="paragraph" w:customStyle="1" w:styleId="286">
    <w:name w:val="样式 wang正文 + 首行缩进:  2 字符1"/>
    <w:basedOn w:val="169"/>
    <w:qFormat/>
    <w:uiPriority w:val="0"/>
    <w:pPr>
      <w:adjustRightInd w:val="0"/>
      <w:spacing w:line="360" w:lineRule="atLeast"/>
      <w:ind w:firstLine="640"/>
      <w:textAlignment w:val="baseline"/>
    </w:pPr>
    <w:rPr>
      <w:szCs w:val="20"/>
    </w:rPr>
  </w:style>
  <w:style w:type="paragraph" w:customStyle="1" w:styleId="287">
    <w:name w:val="标题1－前"/>
    <w:basedOn w:val="3"/>
    <w:qFormat/>
    <w:uiPriority w:val="0"/>
    <w:pPr>
      <w:keepNext w:val="0"/>
      <w:keepLines w:val="0"/>
      <w:tabs>
        <w:tab w:val="left" w:pos="360"/>
      </w:tabs>
      <w:adjustRightInd w:val="0"/>
      <w:snapToGrid w:val="0"/>
      <w:spacing w:line="360" w:lineRule="exact"/>
      <w:ind w:firstLine="0"/>
      <w:textAlignment w:val="auto"/>
    </w:pPr>
    <w:rPr>
      <w:rFonts w:eastAsia="宋体"/>
      <w:b/>
      <w:kern w:val="28"/>
      <w:sz w:val="28"/>
      <w:szCs w:val="20"/>
    </w:rPr>
  </w:style>
  <w:style w:type="paragraph" w:customStyle="1" w:styleId="288">
    <w:name w:val="xl139"/>
    <w:basedOn w:val="1"/>
    <w:qFormat/>
    <w:uiPriority w:val="0"/>
    <w:pPr>
      <w:widowControl/>
      <w:pBdr>
        <w:left w:val="single" w:color="auto" w:sz="8" w:space="0"/>
      </w:pBdr>
      <w:adjustRightInd w:val="0"/>
      <w:spacing w:before="100" w:beforeAutospacing="1" w:after="100" w:afterAutospacing="1" w:line="360" w:lineRule="atLeast"/>
      <w:jc w:val="center"/>
      <w:textAlignment w:val="center"/>
    </w:pPr>
    <w:rPr>
      <w:rFonts w:ascii="Arial" w:hAnsi="Arial"/>
      <w:b/>
      <w:kern w:val="0"/>
      <w:sz w:val="24"/>
      <w:szCs w:val="20"/>
    </w:rPr>
  </w:style>
  <w:style w:type="paragraph" w:customStyle="1" w:styleId="289">
    <w:name w:val="封面标准英文名称"/>
    <w:qFormat/>
    <w:uiPriority w:val="0"/>
    <w:pPr>
      <w:widowControl w:val="0"/>
      <w:adjustRightInd w:val="0"/>
      <w:spacing w:before="370" w:line="400" w:lineRule="exact"/>
      <w:jc w:val="center"/>
      <w:textAlignment w:val="baseline"/>
    </w:pPr>
    <w:rPr>
      <w:rFonts w:ascii="Times New Roman" w:hAnsi="Times New Roman" w:eastAsia="宋体" w:cs="Times New Roman"/>
      <w:sz w:val="28"/>
      <w:lang w:val="en-US" w:eastAsia="zh-CN" w:bidi="ar-SA"/>
    </w:rPr>
  </w:style>
  <w:style w:type="paragraph" w:customStyle="1" w:styleId="290">
    <w:name w:val="正文标题1"/>
    <w:basedOn w:val="1"/>
    <w:next w:val="1"/>
    <w:qFormat/>
    <w:uiPriority w:val="0"/>
    <w:pPr>
      <w:tabs>
        <w:tab w:val="left" w:pos="360"/>
      </w:tabs>
      <w:adjustRightInd w:val="0"/>
      <w:spacing w:before="120" w:after="120" w:line="360" w:lineRule="auto"/>
      <w:ind w:left="360" w:hanging="360"/>
      <w:textAlignment w:val="baseline"/>
    </w:pPr>
    <w:rPr>
      <w:b/>
      <w:sz w:val="32"/>
      <w:szCs w:val="20"/>
    </w:rPr>
  </w:style>
  <w:style w:type="paragraph" w:customStyle="1" w:styleId="291">
    <w:name w:val="3x"/>
    <w:basedOn w:val="4"/>
    <w:qFormat/>
    <w:uiPriority w:val="0"/>
    <w:pPr>
      <w:adjustRightInd w:val="0"/>
      <w:snapToGrid w:val="0"/>
      <w:spacing w:before="0" w:after="0" w:line="312" w:lineRule="exact"/>
      <w:textAlignment w:val="baseline"/>
    </w:pPr>
    <w:rPr>
      <w:b w:val="0"/>
      <w:snapToGrid w:val="0"/>
      <w:szCs w:val="21"/>
    </w:rPr>
  </w:style>
  <w:style w:type="paragraph" w:customStyle="1" w:styleId="292">
    <w:name w:val="样式 标题 2 + 段前: 0.5 行 段后: 0.5 行"/>
    <w:basedOn w:val="4"/>
    <w:qFormat/>
    <w:uiPriority w:val="0"/>
    <w:pPr>
      <w:topLinePunct w:val="0"/>
      <w:adjustRightInd w:val="0"/>
      <w:spacing w:beforeLines="50" w:afterLines="50" w:line="240" w:lineRule="auto"/>
      <w:ind w:firstLine="200" w:firstLineChars="200"/>
      <w:jc w:val="left"/>
      <w:textAlignment w:val="baseline"/>
    </w:pPr>
    <w:rPr>
      <w:rFonts w:ascii="Times New Roman" w:hAnsi="Times New Roman"/>
      <w:b w:val="0"/>
      <w:bCs w:val="0"/>
      <w:sz w:val="21"/>
      <w:szCs w:val="20"/>
    </w:rPr>
  </w:style>
  <w:style w:type="paragraph" w:customStyle="1" w:styleId="293">
    <w:name w:val="表格内字体字号"/>
    <w:basedOn w:val="1"/>
    <w:qFormat/>
    <w:uiPriority w:val="0"/>
    <w:pPr>
      <w:adjustRightInd w:val="0"/>
      <w:snapToGrid w:val="0"/>
      <w:spacing w:before="60" w:after="60" w:line="360" w:lineRule="atLeast"/>
      <w:ind w:left="30" w:leftChars="30" w:right="30" w:rightChars="30"/>
      <w:jc w:val="center"/>
      <w:textAlignment w:val="baseline"/>
    </w:pPr>
    <w:rPr>
      <w:sz w:val="18"/>
      <w:szCs w:val="18"/>
    </w:rPr>
  </w:style>
  <w:style w:type="paragraph" w:customStyle="1" w:styleId="294">
    <w:name w:val="Bd"/>
    <w:basedOn w:val="1"/>
    <w:qFormat/>
    <w:uiPriority w:val="0"/>
    <w:pPr>
      <w:adjustRightInd w:val="0"/>
      <w:spacing w:line="360" w:lineRule="atLeast"/>
      <w:textAlignment w:val="baseline"/>
    </w:pPr>
    <w:rPr>
      <w:szCs w:val="24"/>
    </w:rPr>
  </w:style>
  <w:style w:type="paragraph" w:customStyle="1" w:styleId="295">
    <w:name w:val="2X"/>
    <w:basedOn w:val="3"/>
    <w:qFormat/>
    <w:uiPriority w:val="0"/>
    <w:pPr>
      <w:keepNext w:val="0"/>
      <w:keepLines w:val="0"/>
      <w:overflowPunct w:val="0"/>
      <w:adjustRightInd w:val="0"/>
      <w:spacing w:line="312" w:lineRule="exact"/>
      <w:ind w:firstLine="0"/>
    </w:pPr>
    <w:rPr>
      <w:rFonts w:hAnsi="宋体" w:eastAsia="宋体"/>
      <w:kern w:val="2"/>
      <w:sz w:val="21"/>
      <w:szCs w:val="21"/>
    </w:rPr>
  </w:style>
  <w:style w:type="paragraph" w:customStyle="1" w:styleId="296">
    <w:name w:val="1"/>
    <w:basedOn w:val="1"/>
    <w:next w:val="5"/>
    <w:qFormat/>
    <w:uiPriority w:val="0"/>
    <w:pPr>
      <w:topLinePunct w:val="0"/>
      <w:adjustRightInd w:val="0"/>
      <w:spacing w:line="360" w:lineRule="atLeast"/>
      <w:ind w:firstLine="420"/>
      <w:jc w:val="left"/>
      <w:textAlignment w:val="baseline"/>
    </w:pPr>
    <w:rPr>
      <w:rFonts w:ascii="宋体"/>
      <w:kern w:val="0"/>
      <w:sz w:val="24"/>
      <w:szCs w:val="20"/>
    </w:rPr>
  </w:style>
  <w:style w:type="paragraph" w:customStyle="1" w:styleId="297">
    <w:name w:val="Char Char Char1 Char"/>
    <w:basedOn w:val="1"/>
    <w:semiHidden/>
    <w:qFormat/>
    <w:uiPriority w:val="0"/>
    <w:pPr>
      <w:topLinePunct w:val="0"/>
    </w:pPr>
    <w:rPr>
      <w:sz w:val="28"/>
      <w:szCs w:val="24"/>
    </w:rPr>
  </w:style>
  <w:style w:type="paragraph" w:customStyle="1" w:styleId="298">
    <w:name w:val="reader-word-layer reader-word-s7-1"/>
    <w:basedOn w:val="1"/>
    <w:qFormat/>
    <w:uiPriority w:val="0"/>
    <w:pPr>
      <w:widowControl/>
      <w:topLinePunct w:val="0"/>
      <w:spacing w:before="100" w:beforeAutospacing="1" w:after="100" w:afterAutospacing="1"/>
      <w:jc w:val="left"/>
    </w:pPr>
    <w:rPr>
      <w:rFonts w:ascii="宋体" w:hAnsi="宋体" w:cs="宋体"/>
      <w:kern w:val="0"/>
      <w:sz w:val="24"/>
      <w:szCs w:val="24"/>
    </w:rPr>
  </w:style>
  <w:style w:type="paragraph" w:customStyle="1" w:styleId="299">
    <w:name w:val="reader-word-layer reader-word-s7-5"/>
    <w:basedOn w:val="1"/>
    <w:qFormat/>
    <w:uiPriority w:val="0"/>
    <w:pPr>
      <w:widowControl/>
      <w:topLinePunct w:val="0"/>
      <w:spacing w:before="100" w:beforeAutospacing="1" w:after="100" w:afterAutospacing="1"/>
      <w:jc w:val="left"/>
    </w:pPr>
    <w:rPr>
      <w:rFonts w:ascii="宋体" w:hAnsi="宋体" w:cs="宋体"/>
      <w:kern w:val="0"/>
      <w:sz w:val="24"/>
      <w:szCs w:val="24"/>
    </w:rPr>
  </w:style>
  <w:style w:type="paragraph" w:customStyle="1" w:styleId="300">
    <w:name w:val="Char Char Char Char Char2 Char2"/>
    <w:basedOn w:val="1"/>
    <w:qFormat/>
    <w:uiPriority w:val="0"/>
    <w:pPr>
      <w:topLinePunct w:val="0"/>
    </w:pPr>
    <w:rPr>
      <w:szCs w:val="20"/>
    </w:rPr>
  </w:style>
  <w:style w:type="paragraph" w:customStyle="1" w:styleId="301">
    <w:name w:val="XW封面"/>
    <w:basedOn w:val="1"/>
    <w:qFormat/>
    <w:uiPriority w:val="0"/>
    <w:pPr>
      <w:topLinePunct w:val="0"/>
      <w:autoSpaceDE w:val="0"/>
      <w:autoSpaceDN w:val="0"/>
      <w:adjustRightInd w:val="0"/>
      <w:spacing w:line="360" w:lineRule="auto"/>
      <w:jc w:val="center"/>
    </w:pPr>
    <w:rPr>
      <w:rFonts w:ascii="Arial" w:hAnsi="Arial" w:eastAsia="黑体"/>
      <w:kern w:val="0"/>
      <w:sz w:val="44"/>
      <w:szCs w:val="20"/>
      <w:lang w:val="zh-CN"/>
    </w:rPr>
  </w:style>
  <w:style w:type="character" w:customStyle="1" w:styleId="302">
    <w:name w:val="标题 4 字符"/>
    <w:link w:val="7"/>
    <w:qFormat/>
    <w:uiPriority w:val="0"/>
    <w:rPr>
      <w:rFonts w:ascii="Arial" w:hAnsi="Arial" w:eastAsia="黑体"/>
      <w:b/>
      <w:bCs/>
      <w:kern w:val="2"/>
      <w:sz w:val="28"/>
      <w:szCs w:val="28"/>
    </w:rPr>
  </w:style>
  <w:style w:type="character" w:customStyle="1" w:styleId="303">
    <w:name w:val="标题 5 字符"/>
    <w:link w:val="8"/>
    <w:qFormat/>
    <w:uiPriority w:val="0"/>
    <w:rPr>
      <w:rFonts w:eastAsia="黑体"/>
      <w:bCs/>
      <w:kern w:val="2"/>
      <w:sz w:val="21"/>
      <w:szCs w:val="28"/>
    </w:rPr>
  </w:style>
  <w:style w:type="character" w:customStyle="1" w:styleId="304">
    <w:name w:val="标题 6 字符"/>
    <w:link w:val="9"/>
    <w:qFormat/>
    <w:uiPriority w:val="0"/>
    <w:rPr>
      <w:rFonts w:ascii="Arial" w:hAnsi="Arial" w:eastAsia="黑体"/>
      <w:b/>
      <w:bCs/>
      <w:kern w:val="2"/>
      <w:sz w:val="24"/>
      <w:szCs w:val="21"/>
    </w:rPr>
  </w:style>
  <w:style w:type="character" w:customStyle="1" w:styleId="305">
    <w:name w:val="我的正文 Char"/>
    <w:qFormat/>
    <w:uiPriority w:val="0"/>
    <w:rPr>
      <w:rFonts w:ascii="宋体" w:hAnsi="宋体" w:cs="宋体"/>
      <w:color w:val="000000"/>
      <w:sz w:val="24"/>
      <w:szCs w:val="22"/>
      <w:lang w:val="en-US" w:eastAsia="zh-CN" w:bidi="ar-SA"/>
    </w:rPr>
  </w:style>
  <w:style w:type="character" w:customStyle="1" w:styleId="306">
    <w:name w:val="纯文本 Char1"/>
    <w:qFormat/>
    <w:uiPriority w:val="0"/>
    <w:rPr>
      <w:rFonts w:ascii="宋体" w:hAnsi="Courier New"/>
      <w:snapToGrid w:val="0"/>
      <w:sz w:val="24"/>
      <w:szCs w:val="21"/>
    </w:rPr>
  </w:style>
  <w:style w:type="character" w:customStyle="1" w:styleId="307">
    <w:name w:val="朱2 Char"/>
    <w:link w:val="308"/>
    <w:qFormat/>
    <w:uiPriority w:val="0"/>
    <w:rPr>
      <w:rFonts w:ascii="EU-F1" w:eastAsia="黑体"/>
      <w:bCs/>
      <w:kern w:val="21"/>
      <w:szCs w:val="21"/>
    </w:rPr>
  </w:style>
  <w:style w:type="paragraph" w:customStyle="1" w:styleId="308">
    <w:name w:val="朱2"/>
    <w:basedOn w:val="156"/>
    <w:link w:val="307"/>
    <w:qFormat/>
    <w:uiPriority w:val="0"/>
    <w:pPr>
      <w:keepLines w:val="0"/>
      <w:spacing w:line="312" w:lineRule="exact"/>
      <w:jc w:val="both"/>
      <w:textAlignment w:val="baseline"/>
      <w:outlineLvl w:val="0"/>
    </w:pPr>
    <w:rPr>
      <w:bCs/>
      <w:color w:val="auto"/>
      <w:kern w:val="21"/>
      <w:sz w:val="20"/>
    </w:rPr>
  </w:style>
  <w:style w:type="paragraph" w:customStyle="1" w:styleId="309">
    <w:name w:val="1.1.1"/>
    <w:basedOn w:val="1"/>
    <w:qFormat/>
    <w:uiPriority w:val="0"/>
    <w:pPr>
      <w:tabs>
        <w:tab w:val="left" w:pos="852"/>
      </w:tabs>
      <w:topLinePunct w:val="0"/>
      <w:autoSpaceDE w:val="0"/>
      <w:autoSpaceDN w:val="0"/>
      <w:adjustRightInd w:val="0"/>
      <w:spacing w:beforeLines="50" w:afterLines="50" w:line="360" w:lineRule="auto"/>
    </w:pPr>
    <w:rPr>
      <w:rFonts w:ascii="黑体" w:hAnsi="宋体" w:eastAsia="黑体"/>
      <w:kern w:val="0"/>
      <w:sz w:val="28"/>
      <w:szCs w:val="28"/>
    </w:rPr>
  </w:style>
  <w:style w:type="paragraph" w:customStyle="1" w:styleId="310">
    <w:name w:val="自控1"/>
    <w:basedOn w:val="231"/>
    <w:qFormat/>
    <w:uiPriority w:val="0"/>
    <w:pPr>
      <w:topLinePunct/>
      <w:autoSpaceDE/>
      <w:autoSpaceDN/>
      <w:spacing w:line="312" w:lineRule="exact"/>
      <w:ind w:left="879" w:hanging="454" w:firstLineChars="0"/>
    </w:pPr>
    <w:rPr>
      <w:rFonts w:ascii="Times New Roman" w:cs="Arial"/>
      <w:kern w:val="21"/>
      <w:szCs w:val="21"/>
    </w:rPr>
  </w:style>
  <w:style w:type="paragraph" w:customStyle="1" w:styleId="311">
    <w:name w:val="表内文字"/>
    <w:basedOn w:val="2"/>
    <w:qFormat/>
    <w:uiPriority w:val="0"/>
    <w:pPr>
      <w:tabs>
        <w:tab w:val="left" w:pos="0"/>
        <w:tab w:val="left" w:pos="1134"/>
      </w:tabs>
      <w:spacing w:before="120"/>
      <w:jc w:val="center"/>
      <w:textAlignment w:val="baseline"/>
    </w:pPr>
    <w:rPr>
      <w:rFonts w:ascii="Arial" w:hAnsi="Arial" w:eastAsia="楷体_GB2312"/>
      <w:kern w:val="0"/>
      <w:szCs w:val="20"/>
    </w:rPr>
  </w:style>
  <w:style w:type="paragraph" w:customStyle="1" w:styleId="312">
    <w:name w:val="Char Char Char Char Char Char Char Char Char"/>
    <w:basedOn w:val="1"/>
    <w:qFormat/>
    <w:uiPriority w:val="0"/>
    <w:pPr>
      <w:topLinePunct w:val="0"/>
      <w:spacing w:line="360" w:lineRule="auto"/>
      <w:ind w:firstLine="200" w:firstLineChars="200"/>
    </w:pPr>
    <w:rPr>
      <w:kern w:val="0"/>
      <w:sz w:val="20"/>
      <w:szCs w:val="20"/>
    </w:rPr>
  </w:style>
  <w:style w:type="paragraph" w:customStyle="1" w:styleId="313">
    <w:name w:val="NN"/>
    <w:basedOn w:val="1"/>
    <w:qFormat/>
    <w:uiPriority w:val="0"/>
    <w:pPr>
      <w:tabs>
        <w:tab w:val="left" w:pos="1080"/>
      </w:tabs>
      <w:topLinePunct w:val="0"/>
      <w:autoSpaceDE w:val="0"/>
      <w:autoSpaceDN w:val="0"/>
      <w:adjustRightInd w:val="0"/>
      <w:spacing w:before="60" w:after="60" w:line="360" w:lineRule="atLeast"/>
      <w:ind w:left="1134"/>
    </w:pPr>
    <w:rPr>
      <w:rFonts w:ascii="宋体"/>
      <w:kern w:val="0"/>
      <w:sz w:val="24"/>
      <w:szCs w:val="20"/>
    </w:rPr>
  </w:style>
  <w:style w:type="paragraph" w:customStyle="1" w:styleId="314">
    <w:name w:val="1.1.1.1"/>
    <w:basedOn w:val="1"/>
    <w:qFormat/>
    <w:uiPriority w:val="0"/>
    <w:pPr>
      <w:tabs>
        <w:tab w:val="left" w:pos="1134"/>
      </w:tabs>
      <w:topLinePunct w:val="0"/>
      <w:adjustRightInd w:val="0"/>
      <w:spacing w:before="60" w:after="60" w:line="360" w:lineRule="atLeast"/>
      <w:ind w:left="1134" w:hanging="1134"/>
      <w:textAlignment w:val="baseline"/>
    </w:pPr>
    <w:rPr>
      <w:rFonts w:ascii="Arial" w:hAnsi="Arial"/>
      <w:kern w:val="0"/>
      <w:szCs w:val="20"/>
    </w:rPr>
  </w:style>
  <w:style w:type="paragraph" w:customStyle="1" w:styleId="315">
    <w:name w:val="Char1"/>
    <w:basedOn w:val="1"/>
    <w:qFormat/>
    <w:uiPriority w:val="0"/>
    <w:pPr>
      <w:topLinePunct w:val="0"/>
    </w:pPr>
    <w:rPr>
      <w:szCs w:val="20"/>
    </w:rPr>
  </w:style>
  <w:style w:type="paragraph" w:customStyle="1" w:styleId="316">
    <w:name w:val="列项——"/>
    <w:qFormat/>
    <w:uiPriority w:val="0"/>
    <w:pPr>
      <w:widowControl w:val="0"/>
      <w:numPr>
        <w:ilvl w:val="0"/>
        <w:numId w:val="2"/>
      </w:numPr>
      <w:spacing w:line="360" w:lineRule="auto"/>
      <w:jc w:val="both"/>
    </w:pPr>
    <w:rPr>
      <w:rFonts w:ascii="宋体" w:hAnsi="宋体" w:eastAsia="宋体" w:cs="Times New Roman"/>
      <w:sz w:val="21"/>
      <w:lang w:val="en-US" w:eastAsia="zh-CN" w:bidi="ar-SA"/>
    </w:rPr>
  </w:style>
  <w:style w:type="paragraph" w:customStyle="1" w:styleId="317">
    <w:name w:val="我的标题1"/>
    <w:qFormat/>
    <w:uiPriority w:val="0"/>
    <w:pPr>
      <w:tabs>
        <w:tab w:val="left" w:pos="3700"/>
      </w:tabs>
      <w:autoSpaceDE w:val="0"/>
      <w:autoSpaceDN w:val="0"/>
      <w:adjustRightInd w:val="0"/>
      <w:spacing w:line="360" w:lineRule="auto"/>
      <w:ind w:left="3700" w:hanging="400"/>
      <w:outlineLvl w:val="0"/>
    </w:pPr>
    <w:rPr>
      <w:rFonts w:ascii="宋体" w:hAnsi="宋体" w:eastAsia="宋体" w:cs="宋体"/>
      <w:color w:val="000000"/>
      <w:sz w:val="24"/>
      <w:szCs w:val="22"/>
      <w:lang w:val="en-US" w:eastAsia="zh-CN" w:bidi="ar-SA"/>
    </w:rPr>
  </w:style>
  <w:style w:type="paragraph" w:customStyle="1" w:styleId="318">
    <w:name w:val="样式 我的正文 + 左侧:  2 字符 首行缩进:  2 字符"/>
    <w:basedOn w:val="1"/>
    <w:qFormat/>
    <w:uiPriority w:val="0"/>
    <w:pPr>
      <w:widowControl/>
      <w:topLinePunct w:val="0"/>
      <w:autoSpaceDE w:val="0"/>
      <w:autoSpaceDN w:val="0"/>
      <w:adjustRightInd w:val="0"/>
      <w:spacing w:line="360" w:lineRule="auto"/>
      <w:ind w:left="200" w:leftChars="200" w:firstLine="200" w:firstLineChars="200"/>
      <w:jc w:val="left"/>
    </w:pPr>
    <w:rPr>
      <w:rFonts w:ascii="宋体" w:hAnsi="宋体" w:cs="宋体"/>
      <w:color w:val="000000"/>
      <w:kern w:val="0"/>
      <w:sz w:val="24"/>
      <w:szCs w:val="20"/>
    </w:rPr>
  </w:style>
  <w:style w:type="paragraph" w:customStyle="1" w:styleId="319">
    <w:name w:val="我的标题2"/>
    <w:qFormat/>
    <w:uiPriority w:val="0"/>
    <w:pPr>
      <w:tabs>
        <w:tab w:val="left" w:pos="420"/>
        <w:tab w:val="left" w:pos="840"/>
      </w:tabs>
      <w:autoSpaceDE w:val="0"/>
      <w:autoSpaceDN w:val="0"/>
      <w:adjustRightInd w:val="0"/>
      <w:spacing w:line="360" w:lineRule="auto"/>
      <w:ind w:left="840" w:hanging="420"/>
      <w:outlineLvl w:val="1"/>
    </w:pPr>
    <w:rPr>
      <w:rFonts w:ascii="宋体" w:hAnsi="宋体" w:eastAsia="宋体" w:cs="宋体"/>
      <w:color w:val="000000"/>
      <w:sz w:val="24"/>
      <w:szCs w:val="22"/>
      <w:lang w:val="en-US" w:eastAsia="zh-CN" w:bidi="ar-SA"/>
    </w:rPr>
  </w:style>
  <w:style w:type="paragraph" w:customStyle="1" w:styleId="320">
    <w:name w:val="样式 标题 2 + 段前: 0.5 行"/>
    <w:basedOn w:val="4"/>
    <w:next w:val="1"/>
    <w:qFormat/>
    <w:uiPriority w:val="0"/>
    <w:pPr>
      <w:tabs>
        <w:tab w:val="left" w:pos="1134"/>
      </w:tabs>
      <w:topLinePunct w:val="0"/>
      <w:spacing w:beforeLines="50" w:after="0" w:line="240" w:lineRule="auto"/>
      <w:ind w:left="1134" w:hanging="1134"/>
    </w:pPr>
    <w:rPr>
      <w:rFonts w:eastAsia="宋体" w:cs="宋体"/>
      <w:sz w:val="24"/>
      <w:szCs w:val="20"/>
    </w:rPr>
  </w:style>
  <w:style w:type="paragraph" w:customStyle="1" w:styleId="321">
    <w:name w:val="Char Char"/>
    <w:basedOn w:val="1"/>
    <w:qFormat/>
    <w:uiPriority w:val="0"/>
    <w:pPr>
      <w:topLinePunct w:val="0"/>
    </w:pPr>
    <w:rPr>
      <w:szCs w:val="24"/>
    </w:rPr>
  </w:style>
  <w:style w:type="character" w:customStyle="1" w:styleId="322">
    <w:name w:val="批注框文本 字符"/>
    <w:link w:val="46"/>
    <w:qFormat/>
    <w:uiPriority w:val="0"/>
    <w:rPr>
      <w:kern w:val="2"/>
      <w:sz w:val="18"/>
      <w:szCs w:val="18"/>
    </w:rPr>
  </w:style>
  <w:style w:type="character" w:customStyle="1" w:styleId="323">
    <w:name w:val="正文文本 字符"/>
    <w:link w:val="2"/>
    <w:qFormat/>
    <w:uiPriority w:val="0"/>
    <w:rPr>
      <w:kern w:val="2"/>
      <w:sz w:val="21"/>
      <w:szCs w:val="21"/>
    </w:rPr>
  </w:style>
  <w:style w:type="character" w:customStyle="1" w:styleId="324">
    <w:name w:val="批注文字 字符"/>
    <w:link w:val="25"/>
    <w:qFormat/>
    <w:uiPriority w:val="0"/>
    <w:rPr>
      <w:kern w:val="2"/>
      <w:sz w:val="21"/>
      <w:szCs w:val="21"/>
    </w:rPr>
  </w:style>
  <w:style w:type="character" w:customStyle="1" w:styleId="325">
    <w:name w:val="批注主题 字符"/>
    <w:link w:val="73"/>
    <w:qFormat/>
    <w:uiPriority w:val="0"/>
    <w:rPr>
      <w:b/>
      <w:bCs/>
      <w:kern w:val="2"/>
      <w:sz w:val="21"/>
      <w:szCs w:val="21"/>
    </w:rPr>
  </w:style>
  <w:style w:type="character" w:customStyle="1" w:styleId="326">
    <w:name w:val="正文文本缩进 字符"/>
    <w:link w:val="30"/>
    <w:qFormat/>
    <w:uiPriority w:val="0"/>
    <w:rPr>
      <w:spacing w:val="10"/>
      <w:kern w:val="2"/>
      <w:sz w:val="24"/>
      <w:szCs w:val="21"/>
    </w:rPr>
  </w:style>
  <w:style w:type="character" w:customStyle="1" w:styleId="327">
    <w:name w:val="正文文本缩进 2 字符"/>
    <w:link w:val="44"/>
    <w:qFormat/>
    <w:uiPriority w:val="0"/>
    <w:rPr>
      <w:rFonts w:ascii="宋体"/>
      <w:color w:val="000000"/>
      <w:kern w:val="2"/>
      <w:sz w:val="24"/>
      <w:szCs w:val="21"/>
    </w:rPr>
  </w:style>
  <w:style w:type="character" w:customStyle="1" w:styleId="328">
    <w:name w:val="正文文本缩进 3 字符"/>
    <w:link w:val="61"/>
    <w:qFormat/>
    <w:uiPriority w:val="0"/>
    <w:rPr>
      <w:rFonts w:ascii="Arial" w:hAnsi="Arial"/>
      <w:sz w:val="24"/>
    </w:rPr>
  </w:style>
  <w:style w:type="character" w:customStyle="1" w:styleId="329">
    <w:name w:val="日期 字符"/>
    <w:link w:val="43"/>
    <w:qFormat/>
    <w:uiPriority w:val="0"/>
    <w:rPr>
      <w:rFonts w:ascii="Arial" w:hAnsi="Arial" w:cs="Arial"/>
      <w:kern w:val="2"/>
      <w:sz w:val="21"/>
      <w:szCs w:val="21"/>
    </w:rPr>
  </w:style>
  <w:style w:type="paragraph" w:customStyle="1" w:styleId="330">
    <w:name w:val="纯文本1"/>
    <w:basedOn w:val="1"/>
    <w:qFormat/>
    <w:uiPriority w:val="0"/>
    <w:pPr>
      <w:topLinePunct w:val="0"/>
      <w:autoSpaceDE w:val="0"/>
      <w:autoSpaceDN w:val="0"/>
      <w:adjustRightInd w:val="0"/>
      <w:spacing w:line="440" w:lineRule="exact"/>
      <w:textAlignment w:val="baseline"/>
    </w:pPr>
    <w:rPr>
      <w:rFonts w:ascii="宋体" w:hAnsi="宋体"/>
      <w:szCs w:val="20"/>
    </w:rPr>
  </w:style>
  <w:style w:type="character" w:customStyle="1" w:styleId="331">
    <w:name w:val="我的标题3 Char Char"/>
    <w:link w:val="332"/>
    <w:qFormat/>
    <w:uiPriority w:val="0"/>
    <w:rPr>
      <w:rFonts w:ascii="宋体" w:hAnsi="宋体" w:cs="宋体"/>
      <w:color w:val="000000"/>
      <w:szCs w:val="21"/>
      <w:lang w:val="en-US" w:eastAsia="zh-CN" w:bidi="ar-SA"/>
    </w:rPr>
  </w:style>
  <w:style w:type="paragraph" w:customStyle="1" w:styleId="332">
    <w:name w:val="我的标题3"/>
    <w:link w:val="331"/>
    <w:qFormat/>
    <w:uiPriority w:val="0"/>
    <w:pPr>
      <w:autoSpaceDE w:val="0"/>
      <w:autoSpaceDN w:val="0"/>
      <w:adjustRightInd w:val="0"/>
      <w:spacing w:line="360" w:lineRule="auto"/>
      <w:jc w:val="both"/>
      <w:outlineLvl w:val="2"/>
    </w:pPr>
    <w:rPr>
      <w:rFonts w:ascii="宋体" w:hAnsi="宋体" w:eastAsia="宋体" w:cs="宋体"/>
      <w:color w:val="000000"/>
      <w:szCs w:val="21"/>
      <w:lang w:val="en-US" w:eastAsia="zh-CN" w:bidi="ar-SA"/>
    </w:rPr>
  </w:style>
  <w:style w:type="paragraph" w:customStyle="1" w:styleId="333">
    <w:name w:val="Char Char Char1"/>
    <w:basedOn w:val="1"/>
    <w:qFormat/>
    <w:uiPriority w:val="0"/>
    <w:pPr>
      <w:topLinePunct w:val="0"/>
    </w:pPr>
    <w:rPr>
      <w:rFonts w:ascii="Tahoma" w:hAnsi="Tahoma"/>
      <w:sz w:val="24"/>
      <w:szCs w:val="20"/>
    </w:rPr>
  </w:style>
  <w:style w:type="paragraph" w:customStyle="1" w:styleId="334">
    <w:name w:val="正文＋首2"/>
    <w:basedOn w:val="1"/>
    <w:qFormat/>
    <w:uiPriority w:val="0"/>
    <w:pPr>
      <w:topLinePunct w:val="0"/>
      <w:spacing w:line="300" w:lineRule="auto"/>
      <w:ind w:firstLine="420" w:firstLineChars="200"/>
    </w:pPr>
  </w:style>
  <w:style w:type="paragraph" w:customStyle="1" w:styleId="335">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paragraph" w:customStyle="1" w:styleId="336">
    <w:name w:val="Char Char Char Char"/>
    <w:basedOn w:val="1"/>
    <w:qFormat/>
    <w:uiPriority w:val="0"/>
    <w:pPr>
      <w:topLinePunct w:val="0"/>
    </w:pPr>
    <w:rPr>
      <w:szCs w:val="24"/>
    </w:rPr>
  </w:style>
  <w:style w:type="paragraph" w:customStyle="1" w:styleId="337">
    <w:name w:val="Header1"/>
    <w:basedOn w:val="1"/>
    <w:qFormat/>
    <w:uiPriority w:val="0"/>
    <w:pPr>
      <w:widowControl/>
      <w:topLinePunct w:val="0"/>
      <w:spacing w:before="48" w:after="48"/>
      <w:jc w:val="left"/>
    </w:pPr>
    <w:rPr>
      <w:rFonts w:ascii="Arial Narrow" w:hAnsi="Arial Narrow"/>
      <w:kern w:val="0"/>
      <w:sz w:val="18"/>
      <w:szCs w:val="20"/>
      <w:lang w:val="en-GB" w:eastAsia="en-US"/>
    </w:rPr>
  </w:style>
  <w:style w:type="paragraph" w:customStyle="1" w:styleId="338">
    <w:name w:val="Char Char Char Char Char Char Char Char Char1"/>
    <w:basedOn w:val="1"/>
    <w:qFormat/>
    <w:uiPriority w:val="0"/>
    <w:pPr>
      <w:topLinePunct w:val="0"/>
      <w:spacing w:line="360" w:lineRule="auto"/>
      <w:ind w:firstLine="200" w:firstLineChars="200"/>
    </w:pPr>
    <w:rPr>
      <w:kern w:val="0"/>
      <w:sz w:val="20"/>
      <w:szCs w:val="20"/>
    </w:rPr>
  </w:style>
  <w:style w:type="paragraph" w:customStyle="1" w:styleId="339">
    <w:name w:val="Char12"/>
    <w:basedOn w:val="1"/>
    <w:qFormat/>
    <w:uiPriority w:val="0"/>
    <w:pPr>
      <w:topLinePunct w:val="0"/>
    </w:pPr>
    <w:rPr>
      <w:szCs w:val="24"/>
    </w:rPr>
  </w:style>
  <w:style w:type="paragraph" w:customStyle="1" w:styleId="340">
    <w:name w:val="Char Char Char Char1"/>
    <w:basedOn w:val="1"/>
    <w:qFormat/>
    <w:uiPriority w:val="0"/>
    <w:pPr>
      <w:topLinePunct w:val="0"/>
    </w:pPr>
    <w:rPr>
      <w:szCs w:val="24"/>
    </w:rPr>
  </w:style>
  <w:style w:type="paragraph" w:customStyle="1" w:styleId="341">
    <w:name w:val="Char Char1"/>
    <w:basedOn w:val="1"/>
    <w:qFormat/>
    <w:uiPriority w:val="0"/>
    <w:pPr>
      <w:topLinePunct w:val="0"/>
    </w:pPr>
    <w:rPr>
      <w:szCs w:val="24"/>
    </w:rPr>
  </w:style>
  <w:style w:type="paragraph" w:customStyle="1" w:styleId="342">
    <w:name w:val="Char Char1 Char Char Char Char Char Char"/>
    <w:basedOn w:val="1"/>
    <w:qFormat/>
    <w:uiPriority w:val="0"/>
    <w:pPr>
      <w:widowControl/>
      <w:topLinePunct w:val="0"/>
      <w:spacing w:after="160" w:line="240" w:lineRule="exact"/>
      <w:jc w:val="left"/>
    </w:pPr>
    <w:rPr>
      <w:rFonts w:ascii="Verdana" w:hAnsi="Verdana" w:eastAsia="仿宋_GB2312"/>
      <w:kern w:val="0"/>
      <w:sz w:val="24"/>
      <w:szCs w:val="20"/>
      <w:lang w:eastAsia="en-US"/>
    </w:rPr>
  </w:style>
  <w:style w:type="paragraph" w:customStyle="1" w:styleId="343">
    <w:name w:val="Char Char3"/>
    <w:basedOn w:val="1"/>
    <w:qFormat/>
    <w:uiPriority w:val="0"/>
    <w:pPr>
      <w:widowControl/>
      <w:topLinePunct w:val="0"/>
      <w:spacing w:before="100" w:beforeAutospacing="1" w:after="100" w:afterAutospacing="1" w:line="330" w:lineRule="atLeast"/>
      <w:ind w:left="360"/>
      <w:jc w:val="left"/>
    </w:pPr>
    <w:rPr>
      <w:rFonts w:ascii="ˎ̥" w:hAnsi="ˎ̥" w:cs="宋体"/>
      <w:color w:val="51585D"/>
      <w:kern w:val="0"/>
      <w:szCs w:val="18"/>
    </w:rPr>
  </w:style>
  <w:style w:type="character" w:customStyle="1" w:styleId="344">
    <w:name w:val="fontstyle01"/>
    <w:qFormat/>
    <w:uiPriority w:val="0"/>
    <w:rPr>
      <w:rFonts w:hint="eastAsia" w:ascii="宋体" w:hAnsi="宋体" w:eastAsia="宋体"/>
      <w:color w:val="000000"/>
      <w:sz w:val="24"/>
      <w:szCs w:val="24"/>
    </w:rPr>
  </w:style>
  <w:style w:type="character" w:customStyle="1" w:styleId="345">
    <w:name w:val="fontstyle21"/>
    <w:qFormat/>
    <w:uiPriority w:val="0"/>
    <w:rPr>
      <w:rFonts w:hint="default" w:ascii="TimesNewRomanPSMT" w:hAnsi="TimesNewRomanPSMT"/>
      <w:color w:val="000000"/>
      <w:sz w:val="24"/>
      <w:szCs w:val="24"/>
    </w:rPr>
  </w:style>
  <w:style w:type="character" w:customStyle="1" w:styleId="346">
    <w:name w:val="fontstyle11"/>
    <w:qFormat/>
    <w:uiPriority w:val="0"/>
    <w:rPr>
      <w:rFonts w:hint="default" w:ascii="TimesNewRomanPSMT" w:hAnsi="TimesNewRomanPSMT"/>
      <w:color w:val="000000"/>
      <w:sz w:val="24"/>
      <w:szCs w:val="24"/>
    </w:rPr>
  </w:style>
  <w:style w:type="paragraph" w:customStyle="1" w:styleId="347">
    <w:name w:val="正文_1"/>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customStyle="1" w:styleId="348">
    <w:name w:val="Char Char Char Char Char Char1 Char"/>
    <w:basedOn w:val="1"/>
    <w:qFormat/>
    <w:uiPriority w:val="0"/>
    <w:pPr>
      <w:topLinePunct w:val="0"/>
    </w:pPr>
    <w:rPr>
      <w:szCs w:val="24"/>
    </w:rPr>
  </w:style>
  <w:style w:type="paragraph" w:customStyle="1" w:styleId="349">
    <w:name w:val="_Style 79"/>
    <w:basedOn w:val="24"/>
    <w:qFormat/>
    <w:uiPriority w:val="0"/>
    <w:pPr>
      <w:topLinePunct w:val="0"/>
    </w:pPr>
    <w:rPr>
      <w:szCs w:val="24"/>
    </w:rPr>
  </w:style>
  <w:style w:type="character" w:customStyle="1" w:styleId="350">
    <w:name w:val="Body text_"/>
    <w:link w:val="351"/>
    <w:qFormat/>
    <w:uiPriority w:val="99"/>
    <w:rPr>
      <w:rFonts w:ascii="Arial Unicode MS" w:eastAsia="Arial Unicode MS" w:cs="Arial Unicode MS"/>
      <w:sz w:val="22"/>
      <w:szCs w:val="22"/>
      <w:shd w:val="clear" w:color="auto" w:fill="FFFFFF"/>
    </w:rPr>
  </w:style>
  <w:style w:type="paragraph" w:customStyle="1" w:styleId="351">
    <w:name w:val="Body text1"/>
    <w:basedOn w:val="1"/>
    <w:link w:val="350"/>
    <w:qFormat/>
    <w:uiPriority w:val="99"/>
    <w:pPr>
      <w:shd w:val="clear" w:color="auto" w:fill="FFFFFF"/>
      <w:topLinePunct w:val="0"/>
      <w:spacing w:after="1020" w:line="240" w:lineRule="atLeast"/>
      <w:ind w:hanging="1580"/>
      <w:jc w:val="center"/>
    </w:pPr>
    <w:rPr>
      <w:rFonts w:ascii="Arial Unicode MS" w:eastAsia="Arial Unicode MS"/>
      <w:kern w:val="0"/>
      <w:sz w:val="22"/>
      <w:szCs w:val="22"/>
    </w:rPr>
  </w:style>
  <w:style w:type="character" w:customStyle="1" w:styleId="352">
    <w:name w:val="Body text (4) + Arial Unicode MS"/>
    <w:qFormat/>
    <w:uiPriority w:val="99"/>
    <w:rPr>
      <w:rFonts w:ascii="Arial Unicode MS" w:eastAsia="Arial Unicode MS" w:cs="Arial Unicode MS"/>
      <w:b/>
      <w:bCs/>
      <w:sz w:val="22"/>
      <w:szCs w:val="22"/>
      <w:u w:val="none"/>
      <w:lang w:val="en-US" w:eastAsia="en-US"/>
    </w:rPr>
  </w:style>
  <w:style w:type="character" w:customStyle="1" w:styleId="353">
    <w:name w:val="Body text + Batang39"/>
    <w:qFormat/>
    <w:uiPriority w:val="99"/>
    <w:rPr>
      <w:rFonts w:ascii="Batang" w:eastAsia="Batang" w:cs="Batang"/>
      <w:b/>
      <w:bCs/>
      <w:sz w:val="21"/>
      <w:szCs w:val="21"/>
      <w:shd w:val="clear" w:color="auto" w:fill="FFFFFF"/>
      <w:lang w:val="en-US" w:eastAsia="en-US"/>
    </w:rPr>
  </w:style>
  <w:style w:type="character" w:customStyle="1" w:styleId="354">
    <w:name w:val="Body text + Batang34"/>
    <w:qFormat/>
    <w:uiPriority w:val="99"/>
    <w:rPr>
      <w:rFonts w:ascii="Batang" w:eastAsia="Batang" w:cs="Batang"/>
      <w:b/>
      <w:bCs/>
      <w:sz w:val="21"/>
      <w:szCs w:val="21"/>
      <w:u w:val="none"/>
      <w:shd w:val="clear" w:color="auto" w:fill="FFFFFF"/>
    </w:rPr>
  </w:style>
  <w:style w:type="character" w:customStyle="1" w:styleId="355">
    <w:name w:val="Body text + Batang32"/>
    <w:qFormat/>
    <w:uiPriority w:val="99"/>
    <w:rPr>
      <w:rFonts w:ascii="Batang" w:eastAsia="Batang" w:cs="Batang"/>
      <w:b/>
      <w:bCs/>
      <w:sz w:val="21"/>
      <w:szCs w:val="21"/>
      <w:u w:val="none"/>
      <w:shd w:val="clear" w:color="auto" w:fill="FFFFFF"/>
    </w:rPr>
  </w:style>
  <w:style w:type="character" w:customStyle="1" w:styleId="356">
    <w:name w:val="Body text + MingLiU"/>
    <w:qFormat/>
    <w:uiPriority w:val="99"/>
    <w:rPr>
      <w:rFonts w:ascii="MingLiU" w:eastAsia="MingLiU" w:cs="MingLiU"/>
      <w:spacing w:val="60"/>
      <w:sz w:val="19"/>
      <w:szCs w:val="19"/>
      <w:u w:val="none"/>
      <w:shd w:val="clear" w:color="auto" w:fill="FFFFFF"/>
    </w:rPr>
  </w:style>
  <w:style w:type="character" w:customStyle="1" w:styleId="357">
    <w:name w:val="Body text + MingLiU34"/>
    <w:qFormat/>
    <w:uiPriority w:val="99"/>
    <w:rPr>
      <w:rFonts w:ascii="MingLiU" w:eastAsia="MingLiU" w:cs="MingLiU"/>
      <w:spacing w:val="10"/>
      <w:sz w:val="19"/>
      <w:szCs w:val="19"/>
      <w:u w:val="none"/>
      <w:shd w:val="clear" w:color="auto" w:fill="FFFFFF"/>
    </w:rPr>
  </w:style>
  <w:style w:type="character" w:customStyle="1" w:styleId="358">
    <w:name w:val="Body text + Batang31"/>
    <w:qFormat/>
    <w:uiPriority w:val="99"/>
    <w:rPr>
      <w:rFonts w:ascii="Batang" w:eastAsia="Batang" w:cs="Batang"/>
      <w:sz w:val="18"/>
      <w:szCs w:val="18"/>
      <w:u w:val="none"/>
      <w:shd w:val="clear" w:color="auto" w:fill="FFFFFF"/>
      <w:lang w:val="en-US" w:eastAsia="en-US"/>
    </w:rPr>
  </w:style>
  <w:style w:type="character" w:customStyle="1" w:styleId="359">
    <w:name w:val="Body text + Batang30"/>
    <w:qFormat/>
    <w:uiPriority w:val="99"/>
    <w:rPr>
      <w:rFonts w:ascii="Batang" w:eastAsia="Batang" w:cs="Batang"/>
      <w:spacing w:val="30"/>
      <w:sz w:val="18"/>
      <w:szCs w:val="18"/>
      <w:u w:val="none"/>
      <w:shd w:val="clear" w:color="auto" w:fill="FFFFFF"/>
      <w:lang w:val="en-US" w:eastAsia="en-US"/>
    </w:rPr>
  </w:style>
  <w:style w:type="character" w:customStyle="1" w:styleId="360">
    <w:name w:val="Body text Exact"/>
    <w:qFormat/>
    <w:uiPriority w:val="99"/>
    <w:rPr>
      <w:rFonts w:ascii="Arial Unicode MS" w:eastAsia="Arial Unicode MS" w:cs="Arial Unicode MS"/>
      <w:spacing w:val="5"/>
      <w:sz w:val="22"/>
      <w:szCs w:val="22"/>
      <w:u w:val="none"/>
    </w:rPr>
  </w:style>
  <w:style w:type="character" w:customStyle="1" w:styleId="361">
    <w:name w:val="Body text + Batang29"/>
    <w:qFormat/>
    <w:uiPriority w:val="99"/>
    <w:rPr>
      <w:rFonts w:ascii="Batang" w:eastAsia="Batang" w:cs="Batang"/>
      <w:b/>
      <w:bCs/>
      <w:spacing w:val="1"/>
      <w:sz w:val="20"/>
      <w:szCs w:val="20"/>
      <w:u w:val="none"/>
      <w:shd w:val="clear" w:color="auto" w:fill="FFFFFF"/>
    </w:rPr>
  </w:style>
  <w:style w:type="character" w:customStyle="1" w:styleId="362">
    <w:name w:val="Body text6"/>
    <w:qFormat/>
    <w:uiPriority w:val="99"/>
    <w:rPr>
      <w:rFonts w:ascii="Arial Unicode MS" w:eastAsia="Arial Unicode MS" w:cs="Arial Unicode MS"/>
      <w:sz w:val="22"/>
      <w:szCs w:val="22"/>
      <w:u w:val="none"/>
      <w:shd w:val="clear" w:color="auto" w:fill="FFFFFF"/>
    </w:rPr>
  </w:style>
  <w:style w:type="character" w:customStyle="1" w:styleId="363">
    <w:name w:val="Table caption_"/>
    <w:link w:val="364"/>
    <w:qFormat/>
    <w:uiPriority w:val="99"/>
    <w:rPr>
      <w:rFonts w:ascii="Arial Unicode MS" w:eastAsia="Arial Unicode MS" w:cs="Arial Unicode MS"/>
      <w:sz w:val="22"/>
      <w:szCs w:val="22"/>
      <w:shd w:val="clear" w:color="auto" w:fill="FFFFFF"/>
    </w:rPr>
  </w:style>
  <w:style w:type="paragraph" w:customStyle="1" w:styleId="364">
    <w:name w:val="Table caption"/>
    <w:basedOn w:val="1"/>
    <w:link w:val="363"/>
    <w:qFormat/>
    <w:uiPriority w:val="99"/>
    <w:pPr>
      <w:shd w:val="clear" w:color="auto" w:fill="FFFFFF"/>
      <w:topLinePunct w:val="0"/>
      <w:spacing w:line="240" w:lineRule="atLeast"/>
      <w:jc w:val="left"/>
    </w:pPr>
    <w:rPr>
      <w:rFonts w:ascii="Arial Unicode MS" w:eastAsia="Arial Unicode MS"/>
      <w:kern w:val="0"/>
      <w:sz w:val="22"/>
      <w:szCs w:val="22"/>
    </w:rPr>
  </w:style>
  <w:style w:type="character" w:customStyle="1" w:styleId="365">
    <w:name w:val="Table caption + Batang"/>
    <w:qFormat/>
    <w:uiPriority w:val="99"/>
    <w:rPr>
      <w:rFonts w:ascii="Batang" w:eastAsia="Batang" w:cs="Batang"/>
      <w:b/>
      <w:bCs/>
      <w:sz w:val="21"/>
      <w:szCs w:val="21"/>
      <w:shd w:val="clear" w:color="auto" w:fill="FFFFFF"/>
      <w:lang w:val="en-US" w:eastAsia="en-US"/>
    </w:rPr>
  </w:style>
  <w:style w:type="character" w:customStyle="1" w:styleId="366">
    <w:name w:val="正文文本1"/>
    <w:qFormat/>
    <w:uiPriority w:val="99"/>
    <w:rPr>
      <w:rFonts w:ascii="Arial Unicode MS" w:eastAsia="Arial Unicode MS" w:cs="Arial Unicode MS"/>
      <w:sz w:val="22"/>
      <w:szCs w:val="22"/>
      <w:u w:val="none"/>
      <w:shd w:val="clear" w:color="auto" w:fill="FFFFFF"/>
    </w:rPr>
  </w:style>
  <w:style w:type="character" w:customStyle="1" w:styleId="367">
    <w:name w:val="Body text + Batang37"/>
    <w:qFormat/>
    <w:uiPriority w:val="99"/>
    <w:rPr>
      <w:rFonts w:ascii="Batang" w:eastAsia="Batang" w:cs="Batang"/>
      <w:b/>
      <w:bCs/>
      <w:sz w:val="21"/>
      <w:szCs w:val="21"/>
      <w:u w:val="none"/>
      <w:shd w:val="clear" w:color="auto" w:fill="FFFFFF"/>
      <w:lang w:val="en-US" w:eastAsia="en-US"/>
    </w:rPr>
  </w:style>
  <w:style w:type="character" w:customStyle="1" w:styleId="368">
    <w:name w:val="特点标题 Char1"/>
    <w:qFormat/>
    <w:uiPriority w:val="0"/>
    <w:rPr>
      <w:rFonts w:ascii="Times New Roman" w:hAnsi="Times New Roman"/>
      <w:kern w:val="2"/>
      <w:sz w:val="28"/>
    </w:rPr>
  </w:style>
  <w:style w:type="paragraph" w:customStyle="1" w:styleId="369">
    <w:name w:val="样式 宋体 二号 加粗 居中 段前: 15.6 磅 行距: 1.5 倍行距"/>
    <w:basedOn w:val="1"/>
    <w:qFormat/>
    <w:uiPriority w:val="0"/>
    <w:pPr>
      <w:spacing w:line="360" w:lineRule="auto"/>
      <w:jc w:val="center"/>
    </w:pPr>
    <w:rPr>
      <w:rFonts w:ascii="宋体" w:hAnsi="宋体" w:cs="宋体"/>
      <w:b/>
      <w:bCs/>
      <w:sz w:val="44"/>
      <w:szCs w:val="24"/>
    </w:rPr>
  </w:style>
  <w:style w:type="character" w:customStyle="1" w:styleId="370">
    <w:name w:val="font11"/>
    <w:basedOn w:val="121"/>
    <w:qFormat/>
    <w:uiPriority w:val="0"/>
    <w:rPr>
      <w:rFonts w:hint="eastAsia" w:ascii="宋体" w:hAnsi="宋体" w:eastAsia="宋体" w:cs="宋体"/>
      <w:b/>
      <w:bCs/>
      <w:color w:val="000000"/>
      <w:sz w:val="21"/>
      <w:szCs w:val="21"/>
      <w:u w:val="none"/>
    </w:rPr>
  </w:style>
  <w:style w:type="character" w:customStyle="1" w:styleId="371">
    <w:name w:val="font21"/>
    <w:basedOn w:val="121"/>
    <w:qFormat/>
    <w:uiPriority w:val="0"/>
    <w:rPr>
      <w:rFonts w:hint="eastAsia" w:ascii="宋体" w:hAnsi="宋体" w:eastAsia="宋体" w:cs="宋体"/>
      <w:color w:val="000000"/>
      <w:sz w:val="21"/>
      <w:szCs w:val="21"/>
      <w:u w:val="none"/>
    </w:rPr>
  </w:style>
  <w:style w:type="paragraph" w:customStyle="1" w:styleId="372">
    <w:name w:val="表格样式4"/>
    <w:basedOn w:val="1"/>
    <w:next w:val="1"/>
    <w:qFormat/>
    <w:uiPriority w:val="0"/>
    <w:pPr>
      <w:keepNext/>
      <w:keepLines/>
      <w:spacing w:line="240" w:lineRule="auto"/>
      <w:ind w:firstLine="0" w:firstLineChars="0"/>
      <w:jc w:val="center"/>
      <w:outlineLvl w:val="9"/>
    </w:pPr>
    <w:rPr>
      <w:kern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BE106-01D8-4BDB-A95C-4A142FB1FE5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46</Pages>
  <Words>25542</Words>
  <Characters>27983</Characters>
  <Lines>1</Lines>
  <Paragraphs>1</Paragraphs>
  <TotalTime>45</TotalTime>
  <ScaleCrop>false</ScaleCrop>
  <LinksUpToDate>false</LinksUpToDate>
  <CharactersWithSpaces>28331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2020-02-28T13:43:00Z</dcterms:created>
  <dc:creator>00882</dc:creator>
  <cp:lastModifiedBy>夜凉如水</cp:lastModifiedBy>
  <cp:lastPrinted>2017-12-07T08:06:00Z</cp:lastPrinted>
  <dcterms:modified xsi:type="dcterms:W3CDTF">2023-09-19T01:59:07Z</dcterms:modified>
  <dc:title>xxxx风电场xx期工程</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A1757E0A28E241289556EB0E51BF2B3D</vt:lpwstr>
  </property>
</Properties>
</file>